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</w:tblGrid>
      <w:tr w:rsidR="003C7312">
        <w:trPr>
          <w:cantSplit/>
        </w:trPr>
        <w:tc>
          <w:tcPr>
            <w:tcW w:w="4962" w:type="dxa"/>
            <w:gridSpan w:val="2"/>
          </w:tcPr>
          <w:p w:rsidR="003C731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Membros presentes</w:t>
            </w:r>
          </w:p>
        </w:tc>
      </w:tr>
      <w:tr w:rsidR="003C7312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3C7312" w:rsidRDefault="003C7312" w:rsidP="00D042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Entidade</w:t>
            </w:r>
          </w:p>
        </w:tc>
        <w:tc>
          <w:tcPr>
            <w:tcW w:w="3119" w:type="dxa"/>
            <w:vAlign w:val="center"/>
          </w:tcPr>
          <w:p w:rsidR="003C7312" w:rsidRDefault="003C7312" w:rsidP="00D042E2">
            <w:pPr>
              <w:pStyle w:val="Ttulo1"/>
              <w:jc w:val="center"/>
            </w:pPr>
            <w:r>
              <w:t>Representante</w:t>
            </w:r>
          </w:p>
        </w:tc>
      </w:tr>
      <w:tr w:rsidR="00554097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554097" w:rsidRPr="00EE790F" w:rsidRDefault="00554097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CATI</w:t>
            </w:r>
          </w:p>
        </w:tc>
        <w:tc>
          <w:tcPr>
            <w:tcW w:w="3119" w:type="dxa"/>
            <w:vAlign w:val="center"/>
          </w:tcPr>
          <w:p w:rsidR="00554097" w:rsidRPr="00EE790F" w:rsidRDefault="00554097" w:rsidP="00557015">
            <w:pPr>
              <w:rPr>
                <w:snapToGrid w:val="0"/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Denis Herisson da Silva (T)</w:t>
            </w:r>
          </w:p>
        </w:tc>
      </w:tr>
      <w:tr w:rsidR="003C2CB1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3C2CB1" w:rsidRPr="00EE790F" w:rsidRDefault="003C2CB1" w:rsidP="00D042E2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CATI</w:t>
            </w:r>
          </w:p>
        </w:tc>
        <w:tc>
          <w:tcPr>
            <w:tcW w:w="3119" w:type="dxa"/>
            <w:vAlign w:val="center"/>
          </w:tcPr>
          <w:p w:rsidR="003C2CB1" w:rsidRPr="00EE790F" w:rsidRDefault="003C2CB1" w:rsidP="0021038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Henrique Bellinaso</w:t>
            </w:r>
            <w:r w:rsidR="009820B2" w:rsidRPr="00EE790F">
              <w:rPr>
                <w:sz w:val="22"/>
                <w:szCs w:val="22"/>
              </w:rPr>
              <w:t xml:space="preserve"> (T)</w:t>
            </w:r>
          </w:p>
        </w:tc>
      </w:tr>
      <w:tr w:rsidR="005D00F5" w:rsidRPr="00EE790F" w:rsidTr="001D0535">
        <w:tc>
          <w:tcPr>
            <w:tcW w:w="1843" w:type="dxa"/>
          </w:tcPr>
          <w:p w:rsidR="005D00F5" w:rsidRPr="00EE790F" w:rsidRDefault="005D00F5" w:rsidP="00557015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CETESB</w:t>
            </w:r>
          </w:p>
        </w:tc>
        <w:tc>
          <w:tcPr>
            <w:tcW w:w="3119" w:type="dxa"/>
          </w:tcPr>
          <w:p w:rsidR="005D00F5" w:rsidRPr="00EE790F" w:rsidRDefault="005D00F5" w:rsidP="00557015">
            <w:pPr>
              <w:pStyle w:val="Corpodetexto"/>
              <w:ind w:right="-637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Denise Dedini (T)</w:t>
            </w:r>
          </w:p>
        </w:tc>
      </w:tr>
      <w:tr w:rsidR="005D00F5" w:rsidRPr="00EE790F" w:rsidTr="001D0535">
        <w:tc>
          <w:tcPr>
            <w:tcW w:w="1843" w:type="dxa"/>
          </w:tcPr>
          <w:p w:rsidR="005D00F5" w:rsidRPr="00EE790F" w:rsidRDefault="005D00F5" w:rsidP="00557015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Cooperativa de HOLAMBRA</w:t>
            </w:r>
          </w:p>
        </w:tc>
        <w:tc>
          <w:tcPr>
            <w:tcW w:w="3119" w:type="dxa"/>
            <w:vAlign w:val="center"/>
          </w:tcPr>
          <w:p w:rsidR="00A661FB" w:rsidRDefault="005D00F5" w:rsidP="00557015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 xml:space="preserve">Fernando </w:t>
            </w:r>
            <w:proofErr w:type="spellStart"/>
            <w:r w:rsidRPr="00EE790F">
              <w:rPr>
                <w:rFonts w:ascii="Times New Roman" w:hAnsi="Times New Roman"/>
                <w:sz w:val="22"/>
                <w:szCs w:val="22"/>
              </w:rPr>
              <w:t>Ruiter</w:t>
            </w:r>
            <w:proofErr w:type="spellEnd"/>
            <w:r w:rsidRPr="00EE790F">
              <w:rPr>
                <w:rFonts w:ascii="Times New Roman" w:hAnsi="Times New Roman"/>
                <w:sz w:val="22"/>
                <w:szCs w:val="22"/>
              </w:rPr>
              <w:t xml:space="preserve"> (S)</w:t>
            </w:r>
            <w:r w:rsidR="001D0535">
              <w:rPr>
                <w:rFonts w:ascii="Times New Roman" w:hAnsi="Times New Roman"/>
                <w:sz w:val="22"/>
                <w:szCs w:val="22"/>
              </w:rPr>
              <w:t xml:space="preserve"> - ausente</w:t>
            </w:r>
          </w:p>
          <w:p w:rsidR="005D00F5" w:rsidRPr="001D0535" w:rsidRDefault="005D00F5" w:rsidP="00557015">
            <w:pPr>
              <w:pStyle w:val="Corpodetexto"/>
              <w:ind w:right="-6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D0535">
              <w:rPr>
                <w:rFonts w:ascii="Times New Roman" w:hAnsi="Times New Roman"/>
                <w:b/>
                <w:sz w:val="22"/>
                <w:szCs w:val="22"/>
              </w:rPr>
              <w:t>Petrus Weel</w:t>
            </w:r>
            <w:r w:rsidR="00A661FB" w:rsidRPr="001D0535">
              <w:rPr>
                <w:rFonts w:ascii="Times New Roman" w:hAnsi="Times New Roman"/>
                <w:b/>
                <w:sz w:val="22"/>
                <w:szCs w:val="22"/>
              </w:rPr>
              <w:t xml:space="preserve"> (R)</w:t>
            </w:r>
          </w:p>
        </w:tc>
      </w:tr>
      <w:tr w:rsidR="005D00F5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DAE S/A Jundiaí</w:t>
            </w:r>
          </w:p>
        </w:tc>
        <w:tc>
          <w:tcPr>
            <w:tcW w:w="3119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Maria Carolina H. D. Simões (T)</w:t>
            </w:r>
          </w:p>
        </w:tc>
      </w:tr>
      <w:tr w:rsidR="005D00F5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PM de Limeira</w:t>
            </w:r>
          </w:p>
        </w:tc>
        <w:tc>
          <w:tcPr>
            <w:tcW w:w="3119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Dirceu Brasil Vieira (T)</w:t>
            </w:r>
          </w:p>
        </w:tc>
      </w:tr>
      <w:tr w:rsidR="005D00F5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IAC - APTA</w:t>
            </w:r>
          </w:p>
        </w:tc>
        <w:tc>
          <w:tcPr>
            <w:tcW w:w="3119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Isabella Clerici de Maria (T)</w:t>
            </w:r>
          </w:p>
        </w:tc>
      </w:tr>
      <w:tr w:rsidR="007724D7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7724D7" w:rsidRPr="00EE790F" w:rsidRDefault="007724D7" w:rsidP="00557015">
            <w:pPr>
              <w:rPr>
                <w:snapToGrid w:val="0"/>
                <w:sz w:val="22"/>
                <w:szCs w:val="22"/>
                <w:lang w:val="en-US"/>
              </w:rPr>
            </w:pPr>
            <w:r w:rsidRPr="00EE790F">
              <w:rPr>
                <w:sz w:val="22"/>
                <w:szCs w:val="22"/>
              </w:rPr>
              <w:t>INEVAT</w:t>
            </w:r>
          </w:p>
        </w:tc>
        <w:tc>
          <w:tcPr>
            <w:tcW w:w="3119" w:type="dxa"/>
            <w:vAlign w:val="center"/>
          </w:tcPr>
          <w:p w:rsidR="007724D7" w:rsidRPr="00EE790F" w:rsidRDefault="007724D7" w:rsidP="00557015">
            <w:pPr>
              <w:rPr>
                <w:snapToGrid w:val="0"/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Cláudia Grabher (S)</w:t>
            </w:r>
          </w:p>
        </w:tc>
      </w:tr>
      <w:tr w:rsidR="007724D7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7724D7" w:rsidRPr="00EE790F" w:rsidRDefault="007724D7" w:rsidP="00D042E2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IZ – APTA</w:t>
            </w:r>
          </w:p>
        </w:tc>
        <w:tc>
          <w:tcPr>
            <w:tcW w:w="3119" w:type="dxa"/>
            <w:vAlign w:val="center"/>
          </w:tcPr>
          <w:p w:rsidR="007724D7" w:rsidRPr="00EE790F" w:rsidRDefault="007724D7" w:rsidP="007724D7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João José A. de A. Demarchi (S</w:t>
            </w:r>
            <w:proofErr w:type="gramStart"/>
            <w:r w:rsidRPr="00EE790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5D00F5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Rotary Club de São Pedro</w:t>
            </w:r>
          </w:p>
        </w:tc>
        <w:tc>
          <w:tcPr>
            <w:tcW w:w="3119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José F. Campos Ricardo (S</w:t>
            </w:r>
            <w:proofErr w:type="gramStart"/>
            <w:r w:rsidRPr="00EE790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E790F" w:rsidRPr="00EE790F" w:rsidTr="001D0535">
        <w:tc>
          <w:tcPr>
            <w:tcW w:w="1843" w:type="dxa"/>
          </w:tcPr>
          <w:p w:rsidR="00EE790F" w:rsidRPr="00EE790F" w:rsidRDefault="00EE790F" w:rsidP="001D0535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790F">
              <w:rPr>
                <w:rFonts w:ascii="Times New Roman" w:hAnsi="Times New Roman"/>
                <w:sz w:val="22"/>
                <w:szCs w:val="22"/>
              </w:rPr>
              <w:t>S</w:t>
            </w:r>
            <w:r w:rsidR="001D0535">
              <w:rPr>
                <w:rFonts w:ascii="Times New Roman" w:hAnsi="Times New Roman"/>
                <w:sz w:val="22"/>
                <w:szCs w:val="22"/>
              </w:rPr>
              <w:t>ind</w:t>
            </w:r>
            <w:proofErr w:type="spellEnd"/>
            <w:r w:rsidR="001D053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E790F">
              <w:rPr>
                <w:rFonts w:ascii="Times New Roman" w:hAnsi="Times New Roman"/>
                <w:sz w:val="22"/>
                <w:szCs w:val="22"/>
              </w:rPr>
              <w:t>R</w:t>
            </w:r>
            <w:r w:rsidR="001D0535">
              <w:rPr>
                <w:rFonts w:ascii="Times New Roman" w:hAnsi="Times New Roman"/>
                <w:sz w:val="22"/>
                <w:szCs w:val="22"/>
              </w:rPr>
              <w:t>ural de</w:t>
            </w:r>
            <w:proofErr w:type="gramStart"/>
            <w:r w:rsidR="001D0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79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Pr="00EE790F">
              <w:rPr>
                <w:rFonts w:ascii="Times New Roman" w:hAnsi="Times New Roman"/>
                <w:sz w:val="22"/>
                <w:szCs w:val="22"/>
              </w:rPr>
              <w:t xml:space="preserve">Bragança </w:t>
            </w:r>
            <w:r w:rsidR="001D0535">
              <w:rPr>
                <w:rFonts w:ascii="Times New Roman" w:hAnsi="Times New Roman"/>
                <w:sz w:val="22"/>
                <w:szCs w:val="22"/>
              </w:rPr>
              <w:t>P</w:t>
            </w:r>
            <w:r w:rsidRPr="00EE790F">
              <w:rPr>
                <w:rFonts w:ascii="Times New Roman" w:hAnsi="Times New Roman"/>
                <w:sz w:val="22"/>
                <w:szCs w:val="22"/>
              </w:rPr>
              <w:t>aulista</w:t>
            </w:r>
          </w:p>
        </w:tc>
        <w:tc>
          <w:tcPr>
            <w:tcW w:w="3119" w:type="dxa"/>
          </w:tcPr>
          <w:p w:rsidR="00EE790F" w:rsidRPr="00EE790F" w:rsidRDefault="00EE790F" w:rsidP="00557015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 xml:space="preserve">Rodrigo </w:t>
            </w:r>
            <w:proofErr w:type="spellStart"/>
            <w:r w:rsidRPr="00EE790F">
              <w:rPr>
                <w:rFonts w:ascii="Times New Roman" w:hAnsi="Times New Roman"/>
                <w:sz w:val="22"/>
                <w:szCs w:val="22"/>
              </w:rPr>
              <w:t>Colicigno</w:t>
            </w:r>
            <w:proofErr w:type="spellEnd"/>
            <w:r w:rsidRPr="00EE790F">
              <w:rPr>
                <w:rFonts w:ascii="Times New Roman" w:hAnsi="Times New Roman"/>
                <w:sz w:val="22"/>
                <w:szCs w:val="22"/>
              </w:rPr>
              <w:t xml:space="preserve"> Ribeiro (S)</w:t>
            </w:r>
          </w:p>
        </w:tc>
      </w:tr>
    </w:tbl>
    <w:p w:rsidR="003C7312" w:rsidRDefault="003C7312" w:rsidP="00D042E2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</w:tblGrid>
      <w:tr w:rsidR="003C7312" w:rsidRPr="00FE2AD2">
        <w:trPr>
          <w:cantSplit/>
        </w:trPr>
        <w:tc>
          <w:tcPr>
            <w:tcW w:w="4962" w:type="dxa"/>
            <w:gridSpan w:val="2"/>
          </w:tcPr>
          <w:p w:rsidR="003C7312" w:rsidRPr="00FE2AD2" w:rsidRDefault="003C7312" w:rsidP="00EF2D03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 xml:space="preserve">Membros Ausentes </w:t>
            </w:r>
            <w:r w:rsidR="00EF2D03">
              <w:rPr>
                <w:rFonts w:ascii="Times New Roman" w:hAnsi="Times New Roman"/>
                <w:b/>
                <w:sz w:val="22"/>
                <w:szCs w:val="22"/>
              </w:rPr>
              <w:t>COM</w:t>
            </w: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 xml:space="preserve"> justificativa</w:t>
            </w:r>
          </w:p>
        </w:tc>
      </w:tr>
      <w:tr w:rsidR="003C7312" w:rsidRPr="00FE2AD2" w:rsidTr="001D0535">
        <w:tc>
          <w:tcPr>
            <w:tcW w:w="1843" w:type="dxa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Entidade</w:t>
            </w:r>
          </w:p>
        </w:tc>
        <w:tc>
          <w:tcPr>
            <w:tcW w:w="3119" w:type="dxa"/>
          </w:tcPr>
          <w:p w:rsidR="003C7312" w:rsidRPr="00FE2AD2" w:rsidRDefault="00D042E2" w:rsidP="00D042E2">
            <w:pPr>
              <w:pStyle w:val="Corpodetexto"/>
              <w:ind w:right="-637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  <w:r w:rsidR="003C7312" w:rsidRPr="00FE2AD2">
              <w:rPr>
                <w:rFonts w:ascii="Times New Roman" w:hAnsi="Times New Roman"/>
                <w:b/>
                <w:sz w:val="22"/>
                <w:szCs w:val="22"/>
              </w:rPr>
              <w:t>Representante</w:t>
            </w:r>
          </w:p>
        </w:tc>
      </w:tr>
      <w:tr w:rsidR="003C7312" w:rsidRPr="00EE790F" w:rsidTr="001D0535">
        <w:tc>
          <w:tcPr>
            <w:tcW w:w="1843" w:type="dxa"/>
          </w:tcPr>
          <w:p w:rsidR="003C7312" w:rsidRPr="00EE790F" w:rsidRDefault="007724D7" w:rsidP="00D042E2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AESABESP</w:t>
            </w:r>
          </w:p>
        </w:tc>
        <w:tc>
          <w:tcPr>
            <w:tcW w:w="3119" w:type="dxa"/>
          </w:tcPr>
          <w:p w:rsidR="003B0386" w:rsidRPr="00EE790F" w:rsidRDefault="007724D7" w:rsidP="007724D7">
            <w:pPr>
              <w:pStyle w:val="Corpodetexto"/>
              <w:ind w:right="-637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Antônio Aparecido Zampronio (S)</w:t>
            </w:r>
          </w:p>
        </w:tc>
      </w:tr>
      <w:tr w:rsidR="00781CEF" w:rsidRPr="00EE790F" w:rsidTr="001D0535">
        <w:tc>
          <w:tcPr>
            <w:tcW w:w="1843" w:type="dxa"/>
          </w:tcPr>
          <w:p w:rsidR="00781CEF" w:rsidRPr="00EE790F" w:rsidRDefault="00781CEF" w:rsidP="00D042E2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CETESB</w:t>
            </w:r>
          </w:p>
        </w:tc>
        <w:tc>
          <w:tcPr>
            <w:tcW w:w="3119" w:type="dxa"/>
          </w:tcPr>
          <w:p w:rsidR="00781CEF" w:rsidRPr="00EE790F" w:rsidRDefault="00781CEF" w:rsidP="00210385">
            <w:pPr>
              <w:pStyle w:val="Corpodetexto"/>
              <w:ind w:right="-637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Maurício Magossi (S)</w:t>
            </w:r>
          </w:p>
        </w:tc>
      </w:tr>
      <w:tr w:rsidR="005D00F5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PUC–Campinas</w:t>
            </w:r>
          </w:p>
        </w:tc>
        <w:tc>
          <w:tcPr>
            <w:tcW w:w="3119" w:type="dxa"/>
            <w:vAlign w:val="center"/>
          </w:tcPr>
          <w:p w:rsidR="005D00F5" w:rsidRPr="00EE790F" w:rsidRDefault="005D00F5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Luiza Ishikawa Ferreira (T)</w:t>
            </w:r>
          </w:p>
        </w:tc>
      </w:tr>
      <w:tr w:rsidR="00EE790F" w:rsidRPr="00EE790F" w:rsidTr="001D0535">
        <w:tc>
          <w:tcPr>
            <w:tcW w:w="1843" w:type="dxa"/>
            <w:vAlign w:val="center"/>
          </w:tcPr>
          <w:p w:rsidR="00EE790F" w:rsidRPr="00EE790F" w:rsidRDefault="00EE790F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SANASA</w:t>
            </w:r>
          </w:p>
        </w:tc>
        <w:tc>
          <w:tcPr>
            <w:tcW w:w="3119" w:type="dxa"/>
            <w:vAlign w:val="center"/>
          </w:tcPr>
          <w:p w:rsidR="00EE790F" w:rsidRPr="00EE790F" w:rsidRDefault="00EE790F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Natália F. Colasanti Perlette (S)</w:t>
            </w:r>
          </w:p>
        </w:tc>
      </w:tr>
      <w:tr w:rsidR="00EE790F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EE790F" w:rsidRPr="00EE790F" w:rsidRDefault="00EE790F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SR de Rio Claro</w:t>
            </w:r>
          </w:p>
        </w:tc>
        <w:tc>
          <w:tcPr>
            <w:tcW w:w="3119" w:type="dxa"/>
            <w:vAlign w:val="center"/>
          </w:tcPr>
          <w:p w:rsidR="00EE790F" w:rsidRPr="00EE790F" w:rsidRDefault="00EE790F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João Primo Baraldi (T)</w:t>
            </w:r>
          </w:p>
        </w:tc>
      </w:tr>
    </w:tbl>
    <w:p w:rsidR="003C7312" w:rsidRDefault="003C7312" w:rsidP="00D042E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</w:tblGrid>
      <w:tr w:rsidR="00EF2D03" w:rsidRPr="00FE2AD2" w:rsidTr="00557015">
        <w:trPr>
          <w:cantSplit/>
        </w:trPr>
        <w:tc>
          <w:tcPr>
            <w:tcW w:w="4962" w:type="dxa"/>
            <w:gridSpan w:val="2"/>
          </w:tcPr>
          <w:p w:rsidR="00EF2D03" w:rsidRPr="00FE2AD2" w:rsidRDefault="00EF2D03" w:rsidP="00EF2D03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Membros Ausentes SEM</w:t>
            </w: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 xml:space="preserve"> justificativa</w:t>
            </w:r>
          </w:p>
        </w:tc>
      </w:tr>
      <w:tr w:rsidR="00EF2D03" w:rsidRPr="00FE2AD2" w:rsidTr="001D0535">
        <w:tc>
          <w:tcPr>
            <w:tcW w:w="1843" w:type="dxa"/>
          </w:tcPr>
          <w:p w:rsidR="00EF2D03" w:rsidRPr="00FE2AD2" w:rsidRDefault="00EF2D03" w:rsidP="00557015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Entidade</w:t>
            </w:r>
          </w:p>
        </w:tc>
        <w:tc>
          <w:tcPr>
            <w:tcW w:w="3119" w:type="dxa"/>
          </w:tcPr>
          <w:p w:rsidR="00EF2D03" w:rsidRPr="00FE2AD2" w:rsidRDefault="00EF2D03" w:rsidP="00557015">
            <w:pPr>
              <w:pStyle w:val="Corpodetexto"/>
              <w:ind w:right="-637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Representante</w:t>
            </w:r>
          </w:p>
        </w:tc>
      </w:tr>
      <w:tr w:rsidR="00EE790F" w:rsidRPr="00EE790F" w:rsidTr="001D0535">
        <w:tc>
          <w:tcPr>
            <w:tcW w:w="1843" w:type="dxa"/>
          </w:tcPr>
          <w:p w:rsidR="00EE790F" w:rsidRPr="00EE790F" w:rsidRDefault="00EE790F" w:rsidP="00557015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AFOCAPI / COPLACANA</w:t>
            </w:r>
          </w:p>
          <w:p w:rsidR="00EE790F" w:rsidRPr="00EE790F" w:rsidRDefault="00EE790F" w:rsidP="00557015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SR Piracicaba</w:t>
            </w:r>
          </w:p>
        </w:tc>
        <w:tc>
          <w:tcPr>
            <w:tcW w:w="3119" w:type="dxa"/>
            <w:vAlign w:val="center"/>
          </w:tcPr>
          <w:p w:rsidR="00EE790F" w:rsidRPr="00EE790F" w:rsidRDefault="00EE790F" w:rsidP="00557015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Ricardo Dias Pacheco (T)</w:t>
            </w:r>
          </w:p>
          <w:p w:rsidR="00EE790F" w:rsidRPr="00EE790F" w:rsidRDefault="00EE790F" w:rsidP="00557015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E790F" w:rsidRPr="00EE790F" w:rsidTr="001D0535">
        <w:tc>
          <w:tcPr>
            <w:tcW w:w="1843" w:type="dxa"/>
          </w:tcPr>
          <w:p w:rsidR="00EE790F" w:rsidRPr="00EE790F" w:rsidRDefault="00EE790F" w:rsidP="00557015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CIESP - SOB</w:t>
            </w:r>
          </w:p>
        </w:tc>
        <w:tc>
          <w:tcPr>
            <w:tcW w:w="3119" w:type="dxa"/>
          </w:tcPr>
          <w:p w:rsidR="00EE790F" w:rsidRPr="00EE790F" w:rsidRDefault="00EE790F" w:rsidP="00557015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E790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Jerry </w:t>
            </w:r>
            <w:proofErr w:type="spellStart"/>
            <w:r w:rsidRPr="00EE790F">
              <w:rPr>
                <w:rFonts w:ascii="Times New Roman" w:hAnsi="Times New Roman"/>
                <w:sz w:val="22"/>
                <w:szCs w:val="22"/>
                <w:lang w:val="en-US"/>
              </w:rPr>
              <w:t>Willians</w:t>
            </w:r>
            <w:proofErr w:type="spellEnd"/>
            <w:r w:rsidRPr="00EE790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E790F">
              <w:rPr>
                <w:rFonts w:ascii="Times New Roman" w:hAnsi="Times New Roman"/>
                <w:sz w:val="22"/>
                <w:szCs w:val="22"/>
                <w:lang w:val="en-US"/>
              </w:rPr>
              <w:t>Moraes</w:t>
            </w:r>
            <w:proofErr w:type="spellEnd"/>
            <w:r w:rsidRPr="00EE790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(S)</w:t>
            </w:r>
          </w:p>
        </w:tc>
      </w:tr>
      <w:tr w:rsidR="00EE790F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EE790F" w:rsidRPr="00EE790F" w:rsidRDefault="00EE790F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IAC - APTA</w:t>
            </w:r>
          </w:p>
        </w:tc>
        <w:tc>
          <w:tcPr>
            <w:tcW w:w="3119" w:type="dxa"/>
            <w:vAlign w:val="center"/>
          </w:tcPr>
          <w:p w:rsidR="00EE790F" w:rsidRPr="00EE790F" w:rsidRDefault="00EE790F" w:rsidP="0055701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Rinaldo de Oliveira Calheiros (T)</w:t>
            </w:r>
          </w:p>
        </w:tc>
      </w:tr>
      <w:tr w:rsidR="005D00F5" w:rsidRPr="00EE790F" w:rsidTr="001D0535">
        <w:tc>
          <w:tcPr>
            <w:tcW w:w="1843" w:type="dxa"/>
          </w:tcPr>
          <w:p w:rsidR="005D00F5" w:rsidRPr="00EE790F" w:rsidRDefault="005D00F5" w:rsidP="00557015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FJPO – Mata Santa Genebra</w:t>
            </w:r>
          </w:p>
        </w:tc>
        <w:tc>
          <w:tcPr>
            <w:tcW w:w="3119" w:type="dxa"/>
          </w:tcPr>
          <w:p w:rsidR="005D00F5" w:rsidRPr="00EE790F" w:rsidRDefault="005D00F5" w:rsidP="00557015">
            <w:pPr>
              <w:pStyle w:val="Corpodetexto"/>
              <w:ind w:right="-637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Cristiano Krepsky (S)</w:t>
            </w:r>
          </w:p>
          <w:p w:rsidR="005D00F5" w:rsidRPr="00EE790F" w:rsidRDefault="005D00F5" w:rsidP="00557015">
            <w:pPr>
              <w:pStyle w:val="Corpodetexto"/>
              <w:ind w:right="-637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Laís Santos de Assis (T)</w:t>
            </w:r>
          </w:p>
        </w:tc>
      </w:tr>
      <w:tr w:rsidR="00EF2D03" w:rsidRPr="00EE790F" w:rsidTr="001D0535">
        <w:tc>
          <w:tcPr>
            <w:tcW w:w="1843" w:type="dxa"/>
          </w:tcPr>
          <w:p w:rsidR="00EF2D03" w:rsidRPr="00EE790F" w:rsidRDefault="00EF2D03" w:rsidP="00EF2D03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PM de Atibaia</w:t>
            </w:r>
          </w:p>
        </w:tc>
        <w:tc>
          <w:tcPr>
            <w:tcW w:w="3119" w:type="dxa"/>
          </w:tcPr>
          <w:p w:rsidR="00EF2D03" w:rsidRPr="00EE790F" w:rsidRDefault="00EF2D03" w:rsidP="00EF2D03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Marcos Roberto Albertini (S)</w:t>
            </w:r>
          </w:p>
        </w:tc>
      </w:tr>
      <w:tr w:rsidR="005D00F5" w:rsidRPr="00EE790F" w:rsidTr="001D0535">
        <w:tc>
          <w:tcPr>
            <w:tcW w:w="1843" w:type="dxa"/>
          </w:tcPr>
          <w:p w:rsidR="005D00F5" w:rsidRPr="00EE790F" w:rsidRDefault="005D00F5" w:rsidP="00557015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SR Mogi Mirim</w:t>
            </w:r>
          </w:p>
        </w:tc>
        <w:tc>
          <w:tcPr>
            <w:tcW w:w="3119" w:type="dxa"/>
          </w:tcPr>
          <w:p w:rsidR="005D00F5" w:rsidRPr="00EE790F" w:rsidRDefault="005D00F5" w:rsidP="00557015">
            <w:pPr>
              <w:pStyle w:val="Corpodetexto"/>
              <w:ind w:right="-637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Enéas Rodrigues (S)</w:t>
            </w:r>
          </w:p>
        </w:tc>
      </w:tr>
      <w:tr w:rsidR="00EF2D03" w:rsidRPr="00EE790F" w:rsidTr="001D0535">
        <w:tc>
          <w:tcPr>
            <w:tcW w:w="1843" w:type="dxa"/>
          </w:tcPr>
          <w:p w:rsidR="00EF2D03" w:rsidRPr="00EE790F" w:rsidRDefault="00EF2D03" w:rsidP="00EF2D03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2"/>
              </w:rPr>
              <w:t>SR Itu</w:t>
            </w:r>
          </w:p>
        </w:tc>
        <w:tc>
          <w:tcPr>
            <w:tcW w:w="3119" w:type="dxa"/>
          </w:tcPr>
          <w:p w:rsidR="00EF2D03" w:rsidRPr="00EE790F" w:rsidRDefault="00EF2D03" w:rsidP="00557015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E790F">
              <w:rPr>
                <w:rFonts w:ascii="Times New Roman" w:hAnsi="Times New Roman"/>
                <w:sz w:val="22"/>
                <w:szCs w:val="24"/>
              </w:rPr>
              <w:t xml:space="preserve">Alexandra M. </w:t>
            </w:r>
            <w:proofErr w:type="spellStart"/>
            <w:r w:rsidRPr="00EE790F">
              <w:rPr>
                <w:rFonts w:ascii="Times New Roman" w:hAnsi="Times New Roman"/>
                <w:sz w:val="22"/>
                <w:szCs w:val="24"/>
              </w:rPr>
              <w:t>Vetroni</w:t>
            </w:r>
            <w:proofErr w:type="spellEnd"/>
            <w:r w:rsidRPr="00EE790F">
              <w:rPr>
                <w:rFonts w:ascii="Times New Roman" w:hAnsi="Times New Roman"/>
                <w:sz w:val="22"/>
                <w:szCs w:val="24"/>
              </w:rPr>
              <w:t xml:space="preserve"> Martins (T</w:t>
            </w:r>
            <w:proofErr w:type="gramStart"/>
            <w:r w:rsidRPr="00EE790F">
              <w:rPr>
                <w:rFonts w:ascii="Times New Roman" w:hAnsi="Times New Roman"/>
                <w:sz w:val="22"/>
                <w:szCs w:val="24"/>
              </w:rPr>
              <w:t>)</w:t>
            </w:r>
            <w:proofErr w:type="gramEnd"/>
          </w:p>
        </w:tc>
      </w:tr>
    </w:tbl>
    <w:p w:rsidR="00EF2D03" w:rsidRPr="00EF2D03" w:rsidRDefault="00EF2D03" w:rsidP="00D042E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</w:tblGrid>
      <w:tr w:rsidR="003C7312" w:rsidRPr="00FE2AD2">
        <w:trPr>
          <w:cantSplit/>
        </w:trPr>
        <w:tc>
          <w:tcPr>
            <w:tcW w:w="4962" w:type="dxa"/>
            <w:gridSpan w:val="2"/>
          </w:tcPr>
          <w:p w:rsidR="003C7312" w:rsidRPr="00FE2AD2" w:rsidRDefault="00EE790F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Agência PCJ</w:t>
            </w:r>
          </w:p>
        </w:tc>
      </w:tr>
      <w:tr w:rsidR="003C7312" w:rsidRPr="00FE2AD2" w:rsidTr="001D0535">
        <w:tc>
          <w:tcPr>
            <w:tcW w:w="1843" w:type="dxa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Entidade</w:t>
            </w:r>
          </w:p>
        </w:tc>
        <w:tc>
          <w:tcPr>
            <w:tcW w:w="3119" w:type="dxa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Representante</w:t>
            </w:r>
          </w:p>
        </w:tc>
      </w:tr>
      <w:tr w:rsidR="003C7312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3C7312" w:rsidRPr="00EE790F" w:rsidRDefault="00554097" w:rsidP="00554097">
            <w:pPr>
              <w:rPr>
                <w:snapToGrid w:val="0"/>
                <w:sz w:val="22"/>
                <w:szCs w:val="22"/>
              </w:rPr>
            </w:pPr>
            <w:r w:rsidRPr="00EE790F">
              <w:rPr>
                <w:snapToGrid w:val="0"/>
                <w:szCs w:val="22"/>
              </w:rPr>
              <w:t>iX Estudos Projetos</w:t>
            </w:r>
          </w:p>
        </w:tc>
        <w:tc>
          <w:tcPr>
            <w:tcW w:w="3119" w:type="dxa"/>
            <w:vAlign w:val="center"/>
          </w:tcPr>
          <w:p w:rsidR="003C7312" w:rsidRPr="00EE790F" w:rsidRDefault="00554097" w:rsidP="00D042E2">
            <w:pPr>
              <w:rPr>
                <w:snapToGrid w:val="0"/>
                <w:sz w:val="22"/>
                <w:szCs w:val="22"/>
              </w:rPr>
            </w:pPr>
            <w:r w:rsidRPr="00EE790F">
              <w:rPr>
                <w:snapToGrid w:val="0"/>
                <w:sz w:val="22"/>
                <w:szCs w:val="22"/>
              </w:rPr>
              <w:t>André de Castro e Silva</w:t>
            </w:r>
          </w:p>
        </w:tc>
      </w:tr>
      <w:tr w:rsidR="00DC64B2" w:rsidRPr="00EE790F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DC64B2" w:rsidRPr="00EE790F" w:rsidRDefault="006A3460" w:rsidP="00D042E2">
            <w:pPr>
              <w:rPr>
                <w:sz w:val="22"/>
                <w:szCs w:val="22"/>
              </w:rPr>
            </w:pPr>
            <w:proofErr w:type="spellStart"/>
            <w:r w:rsidRPr="00EE790F">
              <w:rPr>
                <w:sz w:val="22"/>
                <w:szCs w:val="22"/>
              </w:rPr>
              <w:t>Irrigart</w:t>
            </w:r>
            <w:proofErr w:type="spellEnd"/>
            <w:r w:rsidR="00781CEF" w:rsidRPr="00EE790F">
              <w:rPr>
                <w:sz w:val="22"/>
                <w:szCs w:val="22"/>
              </w:rPr>
              <w:t xml:space="preserve"> / Agência</w:t>
            </w:r>
          </w:p>
        </w:tc>
        <w:tc>
          <w:tcPr>
            <w:tcW w:w="3119" w:type="dxa"/>
            <w:vAlign w:val="center"/>
          </w:tcPr>
          <w:p w:rsidR="00DC64B2" w:rsidRPr="00EE790F" w:rsidRDefault="006A3460" w:rsidP="00D042E2">
            <w:pPr>
              <w:rPr>
                <w:snapToGrid w:val="0"/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Marina Peres Barbosa</w:t>
            </w:r>
          </w:p>
        </w:tc>
      </w:tr>
      <w:tr w:rsidR="006A3460" w:rsidRPr="005D00F5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6A3460" w:rsidRPr="00EE790F" w:rsidRDefault="006A3460" w:rsidP="00D042E2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lastRenderedPageBreak/>
              <w:t>Agência PCJ</w:t>
            </w:r>
          </w:p>
        </w:tc>
        <w:tc>
          <w:tcPr>
            <w:tcW w:w="3119" w:type="dxa"/>
            <w:vAlign w:val="center"/>
          </w:tcPr>
          <w:p w:rsidR="006A3460" w:rsidRPr="00EE790F" w:rsidRDefault="006A3460" w:rsidP="00D042E2">
            <w:pPr>
              <w:rPr>
                <w:snapToGrid w:val="0"/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Leonardo L. Baumgratz</w:t>
            </w:r>
          </w:p>
        </w:tc>
      </w:tr>
      <w:tr w:rsidR="00781CEF" w:rsidRPr="005D00F5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781CEF" w:rsidRPr="00EE790F" w:rsidRDefault="00781CEF" w:rsidP="00D042E2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 xml:space="preserve">Agência PCJ </w:t>
            </w:r>
          </w:p>
        </w:tc>
        <w:tc>
          <w:tcPr>
            <w:tcW w:w="3119" w:type="dxa"/>
            <w:vAlign w:val="center"/>
          </w:tcPr>
          <w:p w:rsidR="00781CEF" w:rsidRPr="00EE790F" w:rsidRDefault="00781CEF" w:rsidP="00D042E2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Maria Eugênia Martins</w:t>
            </w:r>
          </w:p>
        </w:tc>
      </w:tr>
      <w:tr w:rsidR="005D00F5" w:rsidRPr="005D00F5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5D00F5" w:rsidRPr="00EE790F" w:rsidRDefault="005D00F5" w:rsidP="005D00F5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>Agência PCJ</w:t>
            </w:r>
          </w:p>
        </w:tc>
        <w:tc>
          <w:tcPr>
            <w:tcW w:w="3119" w:type="dxa"/>
            <w:vAlign w:val="center"/>
          </w:tcPr>
          <w:p w:rsidR="005D00F5" w:rsidRPr="00EE790F" w:rsidRDefault="005D00F5" w:rsidP="00D042E2">
            <w:pPr>
              <w:rPr>
                <w:sz w:val="22"/>
                <w:szCs w:val="22"/>
              </w:rPr>
            </w:pPr>
            <w:r w:rsidRPr="00EE790F">
              <w:rPr>
                <w:sz w:val="22"/>
                <w:szCs w:val="22"/>
              </w:rPr>
              <w:t xml:space="preserve">Kátia R. </w:t>
            </w:r>
            <w:proofErr w:type="spellStart"/>
            <w:r w:rsidRPr="00EE790F">
              <w:rPr>
                <w:sz w:val="22"/>
                <w:szCs w:val="22"/>
              </w:rPr>
              <w:t>Gotardi</w:t>
            </w:r>
            <w:proofErr w:type="spellEnd"/>
            <w:r w:rsidRPr="00EE79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790F">
              <w:rPr>
                <w:sz w:val="22"/>
                <w:szCs w:val="22"/>
              </w:rPr>
              <w:t>Piccin</w:t>
            </w:r>
            <w:proofErr w:type="spellEnd"/>
            <w:proofErr w:type="gramEnd"/>
          </w:p>
        </w:tc>
      </w:tr>
      <w:tr w:rsidR="00A661FB" w:rsidRPr="005D00F5" w:rsidTr="001D0535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43" w:type="dxa"/>
            <w:vAlign w:val="center"/>
          </w:tcPr>
          <w:p w:rsidR="00A661FB" w:rsidRPr="00EE790F" w:rsidRDefault="00A661FB" w:rsidP="005D0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 PCJ</w:t>
            </w:r>
          </w:p>
        </w:tc>
        <w:tc>
          <w:tcPr>
            <w:tcW w:w="3119" w:type="dxa"/>
            <w:vAlign w:val="center"/>
          </w:tcPr>
          <w:p w:rsidR="00A661FB" w:rsidRPr="00EE790F" w:rsidRDefault="00A661FB" w:rsidP="00D0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Fábio de Faria Coca</w:t>
            </w:r>
          </w:p>
        </w:tc>
      </w:tr>
    </w:tbl>
    <w:p w:rsidR="00D042E2" w:rsidRDefault="00D042E2" w:rsidP="00D658A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</w:tblGrid>
      <w:tr w:rsidR="00A661FB" w:rsidTr="00557015">
        <w:trPr>
          <w:cantSplit/>
        </w:trPr>
        <w:tc>
          <w:tcPr>
            <w:tcW w:w="4962" w:type="dxa"/>
            <w:gridSpan w:val="2"/>
          </w:tcPr>
          <w:p w:rsidR="00A661FB" w:rsidRDefault="00A661FB" w:rsidP="00557015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Convidados</w:t>
            </w:r>
          </w:p>
        </w:tc>
      </w:tr>
      <w:tr w:rsidR="00A661FB" w:rsidTr="00A661F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2127" w:type="dxa"/>
            <w:vAlign w:val="center"/>
          </w:tcPr>
          <w:p w:rsidR="00A661FB" w:rsidRDefault="00A661FB" w:rsidP="005570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Entidade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pStyle w:val="Ttulo1"/>
              <w:jc w:val="center"/>
            </w:pPr>
            <w:r>
              <w:t>Representante</w:t>
            </w:r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2127" w:type="dxa"/>
            <w:vAlign w:val="center"/>
          </w:tcPr>
          <w:p w:rsidR="00A661FB" w:rsidRPr="00EE790F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de Holambra</w:t>
            </w:r>
          </w:p>
        </w:tc>
        <w:tc>
          <w:tcPr>
            <w:tcW w:w="2835" w:type="dxa"/>
            <w:vAlign w:val="center"/>
          </w:tcPr>
          <w:p w:rsidR="00A661FB" w:rsidRPr="00EE790F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Leandro Silveira Anselmo</w:t>
            </w:r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2127" w:type="dxa"/>
            <w:vAlign w:val="center"/>
          </w:tcPr>
          <w:p w:rsidR="00A661FB" w:rsidRDefault="00A661FB" w:rsidP="00557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CODASP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Mauro Pimenta Filho</w:t>
            </w:r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231"/>
        </w:trPr>
        <w:tc>
          <w:tcPr>
            <w:tcW w:w="2127" w:type="dxa"/>
            <w:vMerge w:val="restart"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de Santo Antônio da Posse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Marcelo Augusto </w:t>
            </w:r>
            <w:proofErr w:type="spellStart"/>
            <w:r>
              <w:rPr>
                <w:snapToGrid w:val="0"/>
                <w:sz w:val="22"/>
                <w:szCs w:val="22"/>
              </w:rPr>
              <w:t>Ewert</w:t>
            </w:r>
            <w:proofErr w:type="spellEnd"/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231"/>
        </w:trPr>
        <w:tc>
          <w:tcPr>
            <w:tcW w:w="2127" w:type="dxa"/>
            <w:vMerge/>
            <w:vAlign w:val="center"/>
          </w:tcPr>
          <w:p w:rsidR="00A661FB" w:rsidRDefault="00A661FB" w:rsidP="0055701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Ronaldo </w:t>
            </w:r>
            <w:proofErr w:type="spellStart"/>
            <w:r>
              <w:rPr>
                <w:snapToGrid w:val="0"/>
                <w:sz w:val="22"/>
                <w:szCs w:val="22"/>
              </w:rPr>
              <w:t>Monzani</w:t>
            </w:r>
            <w:proofErr w:type="spellEnd"/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2127" w:type="dxa"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CATI - Santo Antônio da Posse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Josielle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Rodrigues </w:t>
            </w:r>
            <w:proofErr w:type="spellStart"/>
            <w:r>
              <w:rPr>
                <w:snapToGrid w:val="0"/>
                <w:sz w:val="22"/>
                <w:szCs w:val="22"/>
              </w:rPr>
              <w:t>Demisho</w:t>
            </w:r>
            <w:proofErr w:type="spellEnd"/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2127" w:type="dxa"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LEB - ESALQ 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Paulo Lattari</w:t>
            </w:r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2127" w:type="dxa"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SUPREMA 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Silvia Weel</w:t>
            </w:r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116"/>
        </w:trPr>
        <w:tc>
          <w:tcPr>
            <w:tcW w:w="2127" w:type="dxa"/>
            <w:vMerge w:val="restart"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de Limeira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Meire </w:t>
            </w:r>
            <w:proofErr w:type="spellStart"/>
            <w:r>
              <w:rPr>
                <w:snapToGrid w:val="0"/>
                <w:sz w:val="22"/>
                <w:szCs w:val="22"/>
              </w:rPr>
              <w:t>Bassan</w:t>
            </w:r>
            <w:proofErr w:type="spellEnd"/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115"/>
        </w:trPr>
        <w:tc>
          <w:tcPr>
            <w:tcW w:w="2127" w:type="dxa"/>
            <w:vMerge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Ariane Fernanda Santos</w:t>
            </w:r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115"/>
        </w:trPr>
        <w:tc>
          <w:tcPr>
            <w:tcW w:w="2127" w:type="dxa"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Mata Ciliar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Elias </w:t>
            </w:r>
            <w:proofErr w:type="gramStart"/>
            <w:r>
              <w:rPr>
                <w:snapToGrid w:val="0"/>
                <w:sz w:val="22"/>
                <w:szCs w:val="22"/>
              </w:rPr>
              <w:t>R.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da S. de Castro</w:t>
            </w:r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115"/>
        </w:trPr>
        <w:tc>
          <w:tcPr>
            <w:tcW w:w="2127" w:type="dxa"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de Hortolândia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Paulo J. Mancuso</w:t>
            </w:r>
          </w:p>
        </w:tc>
      </w:tr>
      <w:tr w:rsidR="00A661FB" w:rsidRPr="00EE790F" w:rsidTr="00A661FB">
        <w:tblPrEx>
          <w:tblCellMar>
            <w:left w:w="30" w:type="dxa"/>
            <w:right w:w="30" w:type="dxa"/>
          </w:tblCellMar>
        </w:tblPrEx>
        <w:trPr>
          <w:cantSplit/>
          <w:trHeight w:val="115"/>
        </w:trPr>
        <w:tc>
          <w:tcPr>
            <w:tcW w:w="2127" w:type="dxa"/>
            <w:vAlign w:val="center"/>
          </w:tcPr>
          <w:p w:rsidR="00A661FB" w:rsidRDefault="00A661FB" w:rsidP="00A6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 / CBRN</w:t>
            </w:r>
          </w:p>
        </w:tc>
        <w:tc>
          <w:tcPr>
            <w:tcW w:w="2835" w:type="dxa"/>
            <w:vAlign w:val="center"/>
          </w:tcPr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Kazue Matsumoto</w:t>
            </w:r>
          </w:p>
          <w:p w:rsidR="00A661FB" w:rsidRDefault="00A661FB" w:rsidP="00557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Carolina B. </w:t>
            </w:r>
            <w:proofErr w:type="spellStart"/>
            <w:r>
              <w:rPr>
                <w:snapToGrid w:val="0"/>
                <w:sz w:val="22"/>
                <w:szCs w:val="22"/>
              </w:rPr>
              <w:t>Virillo</w:t>
            </w:r>
            <w:proofErr w:type="spellEnd"/>
          </w:p>
        </w:tc>
      </w:tr>
    </w:tbl>
    <w:p w:rsidR="00A661FB" w:rsidRPr="00D042E2" w:rsidRDefault="00A661FB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  <w:r w:rsidRPr="00D042E2">
        <w:rPr>
          <w:rFonts w:ascii="Times New Roman" w:hAnsi="Times New Roman"/>
          <w:b/>
          <w:sz w:val="20"/>
        </w:rPr>
        <w:t xml:space="preserve">(T) - Titular       (S) </w:t>
      </w:r>
      <w:r>
        <w:rPr>
          <w:rFonts w:ascii="Times New Roman" w:hAnsi="Times New Roman"/>
          <w:b/>
          <w:sz w:val="20"/>
        </w:rPr>
        <w:t xml:space="preserve">- Suplente      </w:t>
      </w:r>
      <w:r w:rsidRPr="00D042E2">
        <w:rPr>
          <w:rFonts w:ascii="Times New Roman" w:hAnsi="Times New Roman"/>
          <w:b/>
          <w:sz w:val="20"/>
        </w:rPr>
        <w:t xml:space="preserve">(R) </w:t>
      </w:r>
      <w:r>
        <w:rPr>
          <w:rFonts w:ascii="Times New Roman" w:hAnsi="Times New Roman"/>
          <w:b/>
          <w:sz w:val="20"/>
        </w:rPr>
        <w:t xml:space="preserve">- </w:t>
      </w:r>
      <w:r w:rsidRPr="00D042E2">
        <w:rPr>
          <w:rFonts w:ascii="Times New Roman" w:hAnsi="Times New Roman"/>
          <w:b/>
          <w:sz w:val="20"/>
        </w:rPr>
        <w:t>Representante</w:t>
      </w:r>
    </w:p>
    <w:p w:rsidR="00A661FB" w:rsidRDefault="00A661FB" w:rsidP="00D658A5">
      <w:pPr>
        <w:autoSpaceDE w:val="0"/>
        <w:autoSpaceDN w:val="0"/>
        <w:adjustRightInd w:val="0"/>
        <w:jc w:val="both"/>
        <w:rPr>
          <w:b/>
        </w:rPr>
      </w:pPr>
    </w:p>
    <w:p w:rsidR="0041718E" w:rsidRDefault="003C7312" w:rsidP="00375527">
      <w:pPr>
        <w:jc w:val="both"/>
      </w:pPr>
      <w:r>
        <w:rPr>
          <w:b/>
        </w:rPr>
        <w:t>1.</w:t>
      </w:r>
      <w:r w:rsidR="00D042E2">
        <w:rPr>
          <w:b/>
        </w:rPr>
        <w:t xml:space="preserve"> </w:t>
      </w:r>
      <w:r>
        <w:rPr>
          <w:b/>
        </w:rPr>
        <w:t xml:space="preserve">Pauta: </w:t>
      </w:r>
      <w:r>
        <w:t xml:space="preserve">A pauta e a convocação da reunião foram enviadas </w:t>
      </w:r>
      <w:r w:rsidR="007F78A5">
        <w:t xml:space="preserve">previamente </w:t>
      </w:r>
      <w:r>
        <w:t xml:space="preserve">aos presentes </w:t>
      </w:r>
      <w:r w:rsidR="007F78A5">
        <w:t>através d</w:t>
      </w:r>
      <w:r w:rsidR="009942D7">
        <w:t>e mensagem eletrônica</w:t>
      </w:r>
      <w:r w:rsidR="007F78A5">
        <w:t>, bem como ATA da reunião anterior</w:t>
      </w:r>
      <w:r w:rsidR="002E4004">
        <w:t xml:space="preserve"> para leitura prévia e correções</w:t>
      </w:r>
      <w:r w:rsidR="009942D7">
        <w:t>.</w:t>
      </w:r>
      <w:r>
        <w:t xml:space="preserve"> </w:t>
      </w:r>
      <w:r>
        <w:rPr>
          <w:b/>
        </w:rPr>
        <w:t>2.</w:t>
      </w:r>
      <w:r w:rsidR="00D042E2">
        <w:rPr>
          <w:b/>
        </w:rPr>
        <w:t xml:space="preserve"> </w:t>
      </w:r>
      <w:r>
        <w:rPr>
          <w:b/>
        </w:rPr>
        <w:t>Abertura</w:t>
      </w:r>
      <w:r w:rsidR="00D042E2">
        <w:rPr>
          <w:b/>
        </w:rPr>
        <w:t xml:space="preserve"> da</w:t>
      </w:r>
      <w:r w:rsidR="00BF5FE1">
        <w:rPr>
          <w:b/>
        </w:rPr>
        <w:t xml:space="preserve"> </w:t>
      </w:r>
      <w:r w:rsidR="00D042E2">
        <w:rPr>
          <w:b/>
        </w:rPr>
        <w:t>reunião</w:t>
      </w:r>
      <w:r w:rsidR="001D0535">
        <w:rPr>
          <w:b/>
        </w:rPr>
        <w:t xml:space="preserve"> (Item </w:t>
      </w:r>
      <w:proofErr w:type="gramStart"/>
      <w:r w:rsidR="001D0535">
        <w:rPr>
          <w:b/>
        </w:rPr>
        <w:t>1</w:t>
      </w:r>
      <w:proofErr w:type="gramEnd"/>
      <w:r w:rsidR="001D0535">
        <w:rPr>
          <w:b/>
        </w:rPr>
        <w:t xml:space="preserve"> da pauta)</w:t>
      </w:r>
      <w:r w:rsidR="00D042E2">
        <w:rPr>
          <w:b/>
        </w:rPr>
        <w:t xml:space="preserve">: </w:t>
      </w:r>
      <w:r w:rsidR="00AE668A" w:rsidRPr="00AE79CC">
        <w:t xml:space="preserve">O </w:t>
      </w:r>
      <w:r w:rsidR="00405507">
        <w:t>coordenador adjunto Eng. Henrique Bellinaso</w:t>
      </w:r>
      <w:r w:rsidR="00AE668A" w:rsidRPr="00AE79CC">
        <w:t xml:space="preserve"> </w:t>
      </w:r>
      <w:r w:rsidR="007F78A5">
        <w:t>(</w:t>
      </w:r>
      <w:r w:rsidR="00405507">
        <w:t>CATI/SAA</w:t>
      </w:r>
      <w:r w:rsidR="007F78A5">
        <w:t>)</w:t>
      </w:r>
      <w:r w:rsidR="00405507">
        <w:t xml:space="preserve"> abriu a reunião justificando a ausência do coordenador do GT-Mananciais, Sr. João Baraldi</w:t>
      </w:r>
      <w:r w:rsidR="001D0535">
        <w:t>,</w:t>
      </w:r>
      <w:r w:rsidR="007F78A5">
        <w:t xml:space="preserve"> </w:t>
      </w:r>
      <w:r w:rsidR="00405507">
        <w:t>em função da sua participação no lançamento do Programa ABC paulista na cidade de São Paulo. Agradeceu ao Instituto de Zootecnia pela utilização do espaço e solicitou que todos fizessem as suas respectivas apresentações para maior integração entre o grupo presente, já que haviam muitos convidados.</w:t>
      </w:r>
      <w:r w:rsidR="00D042E2">
        <w:t xml:space="preserve"> </w:t>
      </w:r>
      <w:r w:rsidR="00D14771" w:rsidRPr="00D14771">
        <w:rPr>
          <w:b/>
        </w:rPr>
        <w:t>3</w:t>
      </w:r>
      <w:r w:rsidR="00D042E2">
        <w:rPr>
          <w:b/>
        </w:rPr>
        <w:t xml:space="preserve">. </w:t>
      </w:r>
      <w:r w:rsidR="00F4591E">
        <w:rPr>
          <w:b/>
        </w:rPr>
        <w:t xml:space="preserve">Item </w:t>
      </w:r>
      <w:proofErr w:type="gramStart"/>
      <w:r w:rsidR="001D0535">
        <w:rPr>
          <w:b/>
        </w:rPr>
        <w:t>2</w:t>
      </w:r>
      <w:proofErr w:type="gramEnd"/>
      <w:r w:rsidR="00F4591E">
        <w:rPr>
          <w:b/>
        </w:rPr>
        <w:t xml:space="preserve"> da pauta - </w:t>
      </w:r>
      <w:r w:rsidR="00AE79CC">
        <w:rPr>
          <w:b/>
        </w:rPr>
        <w:t>Leitura e aprovação da ATA anterior (</w:t>
      </w:r>
      <w:r w:rsidR="00405507">
        <w:rPr>
          <w:b/>
        </w:rPr>
        <w:t>4</w:t>
      </w:r>
      <w:r w:rsidR="00AE79CC">
        <w:rPr>
          <w:b/>
        </w:rPr>
        <w:t>ª</w:t>
      </w:r>
      <w:r w:rsidR="005B1784">
        <w:rPr>
          <w:b/>
        </w:rPr>
        <w:t xml:space="preserve"> </w:t>
      </w:r>
      <w:r w:rsidR="00AE79CC">
        <w:rPr>
          <w:b/>
        </w:rPr>
        <w:t>Reunião</w:t>
      </w:r>
      <w:r w:rsidR="00026B82">
        <w:rPr>
          <w:b/>
        </w:rPr>
        <w:t xml:space="preserve"> realizada no dia </w:t>
      </w:r>
      <w:r w:rsidR="003E7EC4">
        <w:rPr>
          <w:b/>
        </w:rPr>
        <w:t>22</w:t>
      </w:r>
      <w:r w:rsidR="00026B82">
        <w:rPr>
          <w:b/>
        </w:rPr>
        <w:t>/0</w:t>
      </w:r>
      <w:r w:rsidR="003E7EC4">
        <w:rPr>
          <w:b/>
        </w:rPr>
        <w:t>7</w:t>
      </w:r>
      <w:r w:rsidR="00026B82">
        <w:rPr>
          <w:b/>
        </w:rPr>
        <w:t>/2016</w:t>
      </w:r>
      <w:r w:rsidR="005B1784">
        <w:rPr>
          <w:b/>
        </w:rPr>
        <w:t xml:space="preserve">): </w:t>
      </w:r>
      <w:r w:rsidR="006A052B">
        <w:t>O Sr. João Demarchi</w:t>
      </w:r>
      <w:r w:rsidR="00BC18A6">
        <w:t xml:space="preserve"> (IZ/APTA/SAA)</w:t>
      </w:r>
      <w:r w:rsidR="006A052B">
        <w:t>, secretá</w:t>
      </w:r>
      <w:r w:rsidR="005B1784" w:rsidRPr="005B1784">
        <w:t>rio do GT-Mananciais</w:t>
      </w:r>
      <w:r w:rsidR="00E060FE">
        <w:t xml:space="preserve">, </w:t>
      </w:r>
      <w:r w:rsidR="00BC18A6">
        <w:t>explanou sobre a ideia de sempre tentar fazer um registro de ATA</w:t>
      </w:r>
      <w:r w:rsidR="001D0535">
        <w:t xml:space="preserve"> o </w:t>
      </w:r>
      <w:r w:rsidR="00BC18A6">
        <w:t xml:space="preserve"> mais fiel </w:t>
      </w:r>
      <w:r w:rsidR="001D0535">
        <w:t xml:space="preserve">possível </w:t>
      </w:r>
      <w:r w:rsidR="00BC18A6">
        <w:t>a todas as ações do GT e perguntou sobre possíveis correções</w:t>
      </w:r>
      <w:r w:rsidR="001D0535">
        <w:t xml:space="preserve"> na ata</w:t>
      </w:r>
      <w:r w:rsidR="00BC18A6">
        <w:t xml:space="preserve">. Após algumas sugestões da Dra. Luiza (PUCC), </w:t>
      </w:r>
      <w:r w:rsidR="001D0535">
        <w:t xml:space="preserve">aceitas por </w:t>
      </w:r>
      <w:proofErr w:type="gramStart"/>
      <w:r w:rsidR="001D0535">
        <w:t xml:space="preserve">todos, </w:t>
      </w:r>
      <w:r w:rsidR="00BC18A6">
        <w:t>a</w:t>
      </w:r>
      <w:proofErr w:type="gramEnd"/>
      <w:r w:rsidR="00BC18A6">
        <w:t xml:space="preserve"> ata foi aprovada por unanimidade.</w:t>
      </w:r>
      <w:r w:rsidR="005B1784">
        <w:t xml:space="preserve"> </w:t>
      </w:r>
      <w:r w:rsidR="00026B82">
        <w:rPr>
          <w:b/>
        </w:rPr>
        <w:t>4</w:t>
      </w:r>
      <w:r w:rsidR="00CF14B9">
        <w:rPr>
          <w:b/>
        </w:rPr>
        <w:t>.</w:t>
      </w:r>
      <w:r w:rsidR="00C0616D">
        <w:rPr>
          <w:b/>
        </w:rPr>
        <w:t xml:space="preserve"> </w:t>
      </w:r>
      <w:r w:rsidR="00F4591E">
        <w:rPr>
          <w:b/>
        </w:rPr>
        <w:t xml:space="preserve">Item </w:t>
      </w:r>
      <w:proofErr w:type="gramStart"/>
      <w:r w:rsidR="001D0535">
        <w:rPr>
          <w:b/>
        </w:rPr>
        <w:t>3</w:t>
      </w:r>
      <w:proofErr w:type="gramEnd"/>
      <w:r w:rsidR="00F4591E">
        <w:rPr>
          <w:b/>
        </w:rPr>
        <w:t xml:space="preserve"> da pauta - </w:t>
      </w:r>
      <w:r w:rsidR="00BC18A6">
        <w:rPr>
          <w:b/>
        </w:rPr>
        <w:t>Resolução SMA nº 32 - Restauração Ecológica - Apresentação e discussões sobre o arcabouço legal relacionado a restauração ecológica no Estado de São Paulo</w:t>
      </w:r>
      <w:r w:rsidR="002005CB">
        <w:rPr>
          <w:b/>
        </w:rPr>
        <w:t xml:space="preserve"> </w:t>
      </w:r>
      <w:r w:rsidR="002005CB">
        <w:t>–</w:t>
      </w:r>
      <w:r w:rsidR="004B2BBE">
        <w:t xml:space="preserve"> </w:t>
      </w:r>
      <w:r w:rsidR="00BC18A6">
        <w:t>A</w:t>
      </w:r>
      <w:r w:rsidR="004B2BBE">
        <w:t xml:space="preserve"> </w:t>
      </w:r>
      <w:r w:rsidR="00BC18A6">
        <w:t xml:space="preserve">Sra. Carolina </w:t>
      </w:r>
      <w:proofErr w:type="spellStart"/>
      <w:r w:rsidR="00BC18A6">
        <w:t>Bernucci</w:t>
      </w:r>
      <w:proofErr w:type="spellEnd"/>
      <w:r w:rsidR="00BC18A6">
        <w:t xml:space="preserve"> </w:t>
      </w:r>
      <w:proofErr w:type="spellStart"/>
      <w:r w:rsidR="00BC18A6">
        <w:t>Virillo</w:t>
      </w:r>
      <w:proofErr w:type="spellEnd"/>
      <w:r w:rsidR="00BC18A6">
        <w:t xml:space="preserve"> </w:t>
      </w:r>
      <w:r w:rsidR="00BC18A6">
        <w:lastRenderedPageBreak/>
        <w:t xml:space="preserve">(SMA/CBRN), em substituição a Sra. Natália Gomes Fernandes Branco, fez uma </w:t>
      </w:r>
      <w:r w:rsidR="001D0535">
        <w:t xml:space="preserve">breve </w:t>
      </w:r>
      <w:r w:rsidR="00BC18A6">
        <w:t>explanação sobre a resolução SMA nº32/2014 e a Portaria CBRN nº01/2015 (Protocolo de Monitoramento)</w:t>
      </w:r>
      <w:r w:rsidR="001D0535">
        <w:t>, sendo</w:t>
      </w:r>
      <w:r w:rsidR="00BC18A6">
        <w:t xml:space="preserve"> depois aberto espaço para perguntas. Primeir</w:t>
      </w:r>
      <w:r w:rsidR="001D0535">
        <w:t>o</w:t>
      </w:r>
      <w:r w:rsidR="00BC18A6">
        <w:t xml:space="preserve"> a palestrante comentou sobre a maior liberdade de escolha em relação ao método de restauração</w:t>
      </w:r>
      <w:r w:rsidR="001D0535">
        <w:t xml:space="preserve"> com esta resolução</w:t>
      </w:r>
      <w:r w:rsidR="00BC18A6">
        <w:t>, sendo que o sistema faz sugestões em função dos dados apresentados pelo interessado. O monitoramento vai dar informações para que sejam feitas as possíveis correções de percurso, e em hipótese</w:t>
      </w:r>
      <w:r w:rsidR="001E3972">
        <w:t xml:space="preserve"> alguma </w:t>
      </w:r>
      <w:proofErr w:type="gramStart"/>
      <w:r w:rsidR="001E3972">
        <w:t>deve-se</w:t>
      </w:r>
      <w:proofErr w:type="gramEnd"/>
      <w:r w:rsidR="001E3972">
        <w:t xml:space="preserve"> esperar o final do prazo de 20 anos para qualquer iniciativa. O prazo final do processo é de 20 anos, mas as ações devem ser realizadas </w:t>
      </w:r>
      <w:proofErr w:type="gramStart"/>
      <w:r w:rsidR="001E3972">
        <w:t>à</w:t>
      </w:r>
      <w:proofErr w:type="gramEnd"/>
      <w:r w:rsidR="001E3972">
        <w:t xml:space="preserve"> partir do primeiro ano com expectativa de restauração o mais breve possível. Os indicadores agora utilizados são mais objetivos, fazendo com que haja menos interferência do observador. Enfatizou que não podemos </w:t>
      </w:r>
      <w:proofErr w:type="gramStart"/>
      <w:r w:rsidR="001E3972">
        <w:t>esquecer de</w:t>
      </w:r>
      <w:proofErr w:type="gramEnd"/>
      <w:r w:rsidR="001E3972">
        <w:t xml:space="preserve"> colocar os custos do monitoramento no projeto de restauração. O Decreto 61.792/2016, </w:t>
      </w:r>
      <w:r w:rsidR="001D0535">
        <w:t xml:space="preserve">no seu </w:t>
      </w:r>
      <w:r w:rsidR="001E3972">
        <w:t xml:space="preserve">art. 12 sobre critérios para recomposição de APP e RL no âmbito do Programa Nascentes, inciso I - </w:t>
      </w:r>
      <w:r w:rsidR="00557015">
        <w:t xml:space="preserve">determina que </w:t>
      </w:r>
      <w:r w:rsidR="001E3972">
        <w:t xml:space="preserve">não sejam utilizadas espécies exóticas e inciso IV - </w:t>
      </w:r>
      <w:r w:rsidR="00557015">
        <w:t xml:space="preserve">que </w:t>
      </w:r>
      <w:r w:rsidR="001E3972">
        <w:t xml:space="preserve">a recomposição da área de preservação permanente seja efetivada para propriedades com menos de </w:t>
      </w:r>
      <w:proofErr w:type="gramStart"/>
      <w:r w:rsidR="001E3972">
        <w:t>4</w:t>
      </w:r>
      <w:proofErr w:type="gramEnd"/>
      <w:r w:rsidR="001E3972">
        <w:t xml:space="preserve"> módulo</w:t>
      </w:r>
      <w:r w:rsidR="00557015">
        <w:t>s</w:t>
      </w:r>
      <w:r w:rsidR="001E3972">
        <w:t xml:space="preserve"> fiscais, dobra a faixa obrigatória pelo novo Código Florestal. Ela entende que </w:t>
      </w:r>
      <w:r w:rsidR="00557015">
        <w:t>quando</w:t>
      </w:r>
      <w:r w:rsidR="001E3972">
        <w:t xml:space="preserve"> são aplicados recursos públicos, deve-se obrigar o usuário a preservar uma área maior que a obrigatóri</w:t>
      </w:r>
      <w:r w:rsidR="00557015">
        <w:t>a</w:t>
      </w:r>
      <w:r w:rsidR="001E3972">
        <w:t xml:space="preserve"> por lei, como uma espécie de compensação pelo uso do dinheiro público. O Roteiro Técnico do FEHIDRO (em fase de conclusão) e a Resolução SMA 46/2016 trazem informações sobre uma área mínima de </w:t>
      </w:r>
      <w:r w:rsidR="00557015">
        <w:t xml:space="preserve">restauração para fins de uso dos recursos de </w:t>
      </w:r>
      <w:proofErr w:type="gramStart"/>
      <w:r w:rsidR="001E3972">
        <w:t>5</w:t>
      </w:r>
      <w:proofErr w:type="gramEnd"/>
      <w:r w:rsidR="001E3972">
        <w:t xml:space="preserve"> </w:t>
      </w:r>
      <w:r w:rsidR="00557015">
        <w:t>hectares</w:t>
      </w:r>
      <w:r w:rsidR="001E3972">
        <w:t>, que o projeto seja cadastrado no SARE, inexistência de obrigações legais para restaurar a mesma área</w:t>
      </w:r>
      <w:r w:rsidR="00557015">
        <w:t xml:space="preserve"> (</w:t>
      </w:r>
      <w:r w:rsidR="001E3972">
        <w:t xml:space="preserve">como </w:t>
      </w:r>
      <w:proofErr w:type="spellStart"/>
      <w:r w:rsidR="001E3972">
        <w:t>TACs</w:t>
      </w:r>
      <w:proofErr w:type="spellEnd"/>
      <w:r w:rsidR="00557015">
        <w:t xml:space="preserve">, </w:t>
      </w:r>
      <w:proofErr w:type="spellStart"/>
      <w:r w:rsidR="00557015">
        <w:t>TCRAs</w:t>
      </w:r>
      <w:proofErr w:type="spellEnd"/>
      <w:r w:rsidR="00557015">
        <w:t>, autuações, etc.)</w:t>
      </w:r>
      <w:r w:rsidR="001E3972">
        <w:t xml:space="preserve">, a comprovação de domínio e a anuência do proprietário. </w:t>
      </w:r>
      <w:r w:rsidR="00557015">
        <w:t>Há um crono</w:t>
      </w:r>
      <w:r w:rsidR="001E3972">
        <w:t xml:space="preserve">grama mínimo de </w:t>
      </w:r>
      <w:proofErr w:type="gramStart"/>
      <w:r w:rsidR="001E3972">
        <w:t>3</w:t>
      </w:r>
      <w:proofErr w:type="gramEnd"/>
      <w:r w:rsidR="001E3972">
        <w:t xml:space="preserve"> ano</w:t>
      </w:r>
      <w:r w:rsidR="00557015">
        <w:t>s a ser seguido</w:t>
      </w:r>
      <w:r w:rsidR="001E3972">
        <w:t>, conforme a SMA nº 32</w:t>
      </w:r>
      <w:r w:rsidR="00785B2B">
        <w:t xml:space="preserve">. São usados os </w:t>
      </w:r>
      <w:proofErr w:type="spellStart"/>
      <w:r w:rsidR="00785B2B" w:rsidRPr="00785B2B">
        <w:rPr>
          <w:i/>
        </w:rPr>
        <w:t>shapefiles</w:t>
      </w:r>
      <w:proofErr w:type="spellEnd"/>
      <w:r w:rsidR="00785B2B">
        <w:t xml:space="preserve"> para checar a extensão das áreas para restauração e um diagnóstico </w:t>
      </w:r>
      <w:r w:rsidR="00557015">
        <w:t xml:space="preserve">da situação passada </w:t>
      </w:r>
      <w:r w:rsidR="00785B2B">
        <w:t>pelas imagens de satélite. Fez uma sugestão: cadastrar</w:t>
      </w:r>
      <w:r w:rsidR="00557015">
        <w:t>,</w:t>
      </w:r>
      <w:r w:rsidR="00785B2B">
        <w:t xml:space="preserve"> pedir análise e validação do CAR e do SARE. </w:t>
      </w:r>
      <w:proofErr w:type="gramStart"/>
      <w:r w:rsidR="00785B2B">
        <w:t>O Programa Nascentes</w:t>
      </w:r>
      <w:proofErr w:type="gramEnd"/>
      <w:r w:rsidR="00785B2B">
        <w:t xml:space="preserve"> é como uma prateleira de projetos a espera de investidores, muito similar no entendimento dela com o Banco de Projetos dos Comitês</w:t>
      </w:r>
      <w:r w:rsidR="00557015">
        <w:t xml:space="preserve"> PCJ</w:t>
      </w:r>
      <w:r w:rsidR="00785B2B">
        <w:t>. Uma orientação conjunta entre a CBRN, CETESB e CFA (SMA 14) sobre intervenções em APP está sendo elaborada, contendo nova regulamentação para o manejo e a exploração madeireira nestas áreas de restauração, como também para o uso de SAF</w:t>
      </w:r>
      <w:r w:rsidR="00557015">
        <w:t>s</w:t>
      </w:r>
      <w:r w:rsidR="00785B2B">
        <w:t xml:space="preserve"> (Sistemas Agroflorestais) e frutíferas. Este assunto ainda é muito complicado segundo a palestrante, e merece </w:t>
      </w:r>
      <w:r w:rsidR="00785B2B">
        <w:lastRenderedPageBreak/>
        <w:t>um aprofundamento.</w:t>
      </w:r>
      <w:r w:rsidR="00AA26BA">
        <w:t xml:space="preserve"> Durante os questionamentos, a Sra. Cláudia (INEVAT) perguntou sobre a validação do CAR e o Registro no SARE, sendo respondido da demora na validação e da necessidade de solicitação antecipada da validação</w:t>
      </w:r>
      <w:r w:rsidR="00557015">
        <w:t xml:space="preserve"> no caso dos projetos aprovados no âmbito da Política</w:t>
      </w:r>
      <w:r w:rsidR="00AA26BA">
        <w:t xml:space="preserve">. O registro no SARE é obrigatório. A Sra. Denise (CETESB) interpelou sobre a Reserva Legal e formas de exploração desta área. A Sra. Silvia Weel (SUPREMA) perguntou sobre experimentos e métodos de restauração com exóticas, adubação verde. Também comentou sobre a necessidade de um olhar mais cuidadoso e com mais atenção no banco de Projetos do Projeto Nascentes. </w:t>
      </w:r>
      <w:r w:rsidR="00557015">
        <w:t>O</w:t>
      </w:r>
      <w:r w:rsidR="00AA26BA">
        <w:t xml:space="preserve"> Sr. Leonardo (Agência PCJ) comentou sobre os conflitos entre a legislação municipal e </w:t>
      </w:r>
      <w:r w:rsidR="00557015">
        <w:t>a estadual</w:t>
      </w:r>
      <w:r w:rsidR="00AA26BA">
        <w:t xml:space="preserve"> e </w:t>
      </w:r>
      <w:proofErr w:type="gramStart"/>
      <w:r w:rsidR="00AA26BA">
        <w:t>porquê</w:t>
      </w:r>
      <w:proofErr w:type="gramEnd"/>
      <w:r w:rsidR="00AA26BA">
        <w:t xml:space="preserve"> </w:t>
      </w:r>
      <w:r w:rsidR="00557015">
        <w:t>d</w:t>
      </w:r>
      <w:r w:rsidR="00AA26BA">
        <w:t xml:space="preserve">a resolução nº 32 não </w:t>
      </w:r>
      <w:r w:rsidR="00557015">
        <w:t>ser</w:t>
      </w:r>
      <w:r w:rsidR="00AA26BA">
        <w:t xml:space="preserve"> uma lei. O Sr. Paulo Mancuso (Med. Veterinário da PM de Hortolândia) enfatizou a necessidade maior preocupação com a fauna, questionando sobre o registro</w:t>
      </w:r>
      <w:r w:rsidR="00557015">
        <w:t xml:space="preserve"> no SARE </w:t>
      </w:r>
      <w:r w:rsidR="00AA26BA">
        <w:t>de áreas urbanas, que também precisam ser restauradas por causa da fauna</w:t>
      </w:r>
      <w:r w:rsidR="00557015">
        <w:t xml:space="preserve">, além </w:t>
      </w:r>
      <w:r w:rsidR="00AA26BA">
        <w:t xml:space="preserve">do não corte do sub-bosque, formando corredores. A Sra. Marina (Agência PCJ) comentou sobre um Banco de Compensação Ambiental. O prof. Dirceu (PM de Limeira) perguntou sobre correções no CAR após o seu cadastro. A resposta é que pode ser alterado após solicitação. Uma vez homologado apenas alguns itens ainda podem ser alterados. </w:t>
      </w:r>
      <w:r w:rsidR="00557015">
        <w:t>O professor também c</w:t>
      </w:r>
      <w:r w:rsidR="00AA26BA">
        <w:t>omentou que precisamos abordar os produtores com cuidado, como educadores ou orientadores e não como fiscalizadores.</w:t>
      </w:r>
      <w:r w:rsidR="00834CEF">
        <w:t xml:space="preserve"> A Dra. Isabela (IAC/APTA/SAA) comentou que cada escritório da CETESB</w:t>
      </w:r>
      <w:r w:rsidR="00575FEC">
        <w:t xml:space="preserve"> tem respondido </w:t>
      </w:r>
      <w:r w:rsidR="00557015">
        <w:t xml:space="preserve">de forma </w:t>
      </w:r>
      <w:r w:rsidR="00575FEC">
        <w:t>diferente a um mesmo questionamento e que precisa haver uma maior uniformização do treinamento e das orientações</w:t>
      </w:r>
      <w:r w:rsidR="00557015">
        <w:t xml:space="preserve"> a todos os escritórios regionais</w:t>
      </w:r>
      <w:r w:rsidR="00575FEC">
        <w:t xml:space="preserve">. </w:t>
      </w:r>
      <w:r w:rsidR="00557015">
        <w:t>D</w:t>
      </w:r>
      <w:r w:rsidR="00575FEC">
        <w:t xml:space="preserve">isse que as sugestões de dobrar a área e do registro no SARE no caso do uso de recursos públicos é muito interessante. A Sra. Kátia fez uma breve explanação geral sobre as ações da agência, incluindo a discussão sobre os </w:t>
      </w:r>
      <w:proofErr w:type="spellStart"/>
      <w:r w:rsidR="00575FEC">
        <w:t>PIPs</w:t>
      </w:r>
      <w:proofErr w:type="spellEnd"/>
      <w:r w:rsidR="00575FEC">
        <w:t xml:space="preserve">, o projeto </w:t>
      </w:r>
      <w:proofErr w:type="spellStart"/>
      <w:r w:rsidR="00575FEC">
        <w:t>Luisa</w:t>
      </w:r>
      <w:proofErr w:type="spellEnd"/>
      <w:r w:rsidR="00FC1FD6">
        <w:t xml:space="preserve"> e outras ações</w:t>
      </w:r>
      <w:r w:rsidR="00575FEC">
        <w:t xml:space="preserve">. O Sr. Petrus (SUPREMA) disse dos problemas graves com espécies como a </w:t>
      </w:r>
      <w:r w:rsidR="00575FEC" w:rsidRPr="00FC1FD6">
        <w:rPr>
          <w:i/>
        </w:rPr>
        <w:t>Liana</w:t>
      </w:r>
      <w:r w:rsidR="00575FEC">
        <w:t xml:space="preserve"> e a </w:t>
      </w:r>
      <w:r w:rsidR="00575FEC" w:rsidRPr="00FC1FD6">
        <w:rPr>
          <w:i/>
        </w:rPr>
        <w:t>Leucena</w:t>
      </w:r>
      <w:r w:rsidR="00575FEC">
        <w:t xml:space="preserve"> e possíveis licenciamentos da CETESB para combate a essas espécies, especialmente a Liana. O Prof. Dirceu acrescentou o cipó neste item. Precisa haver maior discussão e aprofundamento sobre esse assunto. O Sr. Petrus (SUPREMA/Holambra) ainda disse que precisamos</w:t>
      </w:r>
      <w:r w:rsidR="00FC1FD6">
        <w:t xml:space="preserve"> é </w:t>
      </w:r>
      <w:r w:rsidR="00575FEC">
        <w:t xml:space="preserve">plantar árvores, </w:t>
      </w:r>
      <w:r w:rsidR="00FC1FD6">
        <w:t xml:space="preserve">e que </w:t>
      </w:r>
      <w:r w:rsidR="00575FEC">
        <w:t xml:space="preserve">isso </w:t>
      </w:r>
      <w:r w:rsidR="00FC1FD6">
        <w:t xml:space="preserve">é </w:t>
      </w:r>
      <w:r w:rsidR="00575FEC">
        <w:t xml:space="preserve">o que mais precisamos e que estamos complicando </w:t>
      </w:r>
      <w:proofErr w:type="gramStart"/>
      <w:r w:rsidR="00575FEC">
        <w:t>demais.</w:t>
      </w:r>
      <w:proofErr w:type="gramEnd"/>
      <w:r w:rsidR="00575FEC">
        <w:t>Há conflitos entre a produção de alimentos e a preservação ambiental, conforme tem visto e aprendido com o Projeto Nascentes em Holambra. Os custos de produção e de preservação são altos! Comentou também sobre a importância do trabalho conjunto entre a CT-RN e a CT-</w:t>
      </w:r>
      <w:r w:rsidR="00575FEC">
        <w:lastRenderedPageBreak/>
        <w:t>Rural e que há mais ár</w:t>
      </w:r>
      <w:r w:rsidR="000203FB">
        <w:t>e</w:t>
      </w:r>
      <w:r w:rsidR="00575FEC">
        <w:t xml:space="preserve">as </w:t>
      </w:r>
      <w:r w:rsidR="000203FB">
        <w:t>disponíveis</w:t>
      </w:r>
      <w:r w:rsidR="00575FEC">
        <w:t xml:space="preserve"> do </w:t>
      </w:r>
      <w:r w:rsidR="00FC1FD6">
        <w:t xml:space="preserve">que </w:t>
      </w:r>
      <w:r w:rsidR="00575FEC">
        <w:t xml:space="preserve">mudas e dinheiro e que os projetos não acontecem. </w:t>
      </w:r>
      <w:r w:rsidR="00FC1FD6">
        <w:t>P</w:t>
      </w:r>
      <w:r w:rsidR="00575FEC">
        <w:t xml:space="preserve">recisa haver mais efetividade e simplicidade, sugerindo que sejam feitas melhorias na legislação. </w:t>
      </w:r>
      <w:r w:rsidR="00FC1FD6">
        <w:t>O</w:t>
      </w:r>
      <w:r w:rsidR="00575FEC">
        <w:t xml:space="preserve"> Sr. Mauro (CODASP) comentou das suas dificuldades com a elaboração dos </w:t>
      </w:r>
      <w:proofErr w:type="spellStart"/>
      <w:r w:rsidR="00575FEC">
        <w:t>PIPs</w:t>
      </w:r>
      <w:proofErr w:type="spellEnd"/>
      <w:r w:rsidR="00FC1FD6">
        <w:t>,</w:t>
      </w:r>
      <w:r w:rsidR="00575FEC">
        <w:t xml:space="preserve"> já que há um enfoque específico para atividades agropecuárias (CATI/SAA), um para restauração florestal e outr</w:t>
      </w:r>
      <w:r w:rsidR="00FC1FD6">
        <w:t>o</w:t>
      </w:r>
      <w:r w:rsidR="00575FEC">
        <w:t xml:space="preserve"> para saneamento</w:t>
      </w:r>
      <w:r w:rsidR="00B57CDD">
        <w:t xml:space="preserve">. </w:t>
      </w:r>
      <w:r w:rsidR="00FC1FD6">
        <w:t>O</w:t>
      </w:r>
      <w:r w:rsidR="00B57CDD">
        <w:t xml:space="preserve"> Sr. Paulo (PM Hortolândia</w:t>
      </w:r>
      <w:r w:rsidR="00FC1FD6">
        <w:t>)</w:t>
      </w:r>
      <w:r w:rsidR="00B57CDD">
        <w:t xml:space="preserve"> comentou sobre um projeto de sucesso com SAF para café e o </w:t>
      </w:r>
      <w:proofErr w:type="spellStart"/>
      <w:r w:rsidR="00B57CDD">
        <w:t>Jacú</w:t>
      </w:r>
      <w:proofErr w:type="spellEnd"/>
      <w:r w:rsidR="00B57CDD">
        <w:t xml:space="preserve">. No final das discussões algumas sugestões surgiram: (a) </w:t>
      </w:r>
      <w:r w:rsidR="000203FB">
        <w:t xml:space="preserve">elaborar </w:t>
      </w:r>
      <w:r w:rsidR="00B57CDD">
        <w:t>procedimentos</w:t>
      </w:r>
      <w:r w:rsidR="000203FB">
        <w:t xml:space="preserve"> sobre o assunto "Lianas"; (b) áreas úmidas, várzeas e lagoas naturais</w:t>
      </w:r>
      <w:r w:rsidR="00FC1FD6">
        <w:t>. A</w:t>
      </w:r>
      <w:r w:rsidR="000203FB">
        <w:t xml:space="preserve"> resolução 32 não trata destes assuntos</w:t>
      </w:r>
      <w:proofErr w:type="gramStart"/>
      <w:r w:rsidR="000203FB">
        <w:t xml:space="preserve"> mas</w:t>
      </w:r>
      <w:proofErr w:type="gramEnd"/>
      <w:r w:rsidR="000203FB">
        <w:t xml:space="preserve"> deveria ter tr</w:t>
      </w:r>
      <w:r w:rsidR="00FC1FD6">
        <w:t>ata</w:t>
      </w:r>
      <w:r w:rsidR="000203FB">
        <w:t xml:space="preserve">do; (c) mudanças na cultura do plantio e da elaboração de projetos. Diversas </w:t>
      </w:r>
      <w:proofErr w:type="gramStart"/>
      <w:r w:rsidR="000203FB">
        <w:t>outras alternativas</w:t>
      </w:r>
      <w:proofErr w:type="gramEnd"/>
      <w:r w:rsidR="000203FB">
        <w:t xml:space="preserve"> são possíveis. Deveríamos convidar especialistas como o Prof. Ricardo Rodrigues para melhor discussão deste assunto</w:t>
      </w:r>
      <w:r w:rsidR="00FC1FD6">
        <w:t xml:space="preserve"> dentro do GT- Mananciais / CT-Rural / CT-RN</w:t>
      </w:r>
      <w:r w:rsidR="000203FB">
        <w:t xml:space="preserve">; (d) CAR - compromissos anteriores e </w:t>
      </w:r>
      <w:proofErr w:type="spellStart"/>
      <w:r w:rsidR="000203FB">
        <w:t>TCRAs</w:t>
      </w:r>
      <w:proofErr w:type="spellEnd"/>
      <w:r w:rsidR="000203FB">
        <w:t xml:space="preserve"> </w:t>
      </w:r>
      <w:r w:rsidR="00FC1FD6">
        <w:t xml:space="preserve">feitos </w:t>
      </w:r>
      <w:r w:rsidR="000203FB">
        <w:t xml:space="preserve">antes da Resolução </w:t>
      </w:r>
      <w:r w:rsidR="00FC1FD6">
        <w:t>3</w:t>
      </w:r>
      <w:r w:rsidR="000203FB">
        <w:t xml:space="preserve">2; (e) </w:t>
      </w:r>
      <w:proofErr w:type="spellStart"/>
      <w:proofErr w:type="gramStart"/>
      <w:r w:rsidR="000203FB">
        <w:t>DataGeo</w:t>
      </w:r>
      <w:proofErr w:type="spellEnd"/>
      <w:proofErr w:type="gramEnd"/>
      <w:r w:rsidR="000203FB">
        <w:t xml:space="preserve"> do SARE </w:t>
      </w:r>
      <w:r w:rsidR="00FC1FD6">
        <w:t xml:space="preserve">deveria </w:t>
      </w:r>
      <w:r w:rsidR="000203FB">
        <w:t xml:space="preserve">ser usado para projetos de restauração (Sr. Henrique); (f) Maior integração entre produção e conservação, entre capivaras e espelhos d'água, entre fauna e saúde pública (Sr. Paulo); (g) inclusão da SMA 74 nas discussões sobre desassoreamento antes de ações de restauração (tópico também </w:t>
      </w:r>
      <w:r w:rsidR="00FC1FD6">
        <w:t xml:space="preserve">deveria </w:t>
      </w:r>
      <w:r w:rsidR="000203FB">
        <w:t xml:space="preserve">ser aprofundado nas próximas reuniões). </w:t>
      </w:r>
      <w:r w:rsidR="000203FB" w:rsidRPr="000203FB">
        <w:rPr>
          <w:b/>
        </w:rPr>
        <w:t>5</w:t>
      </w:r>
      <w:r w:rsidR="00EB3C7D" w:rsidRPr="000203FB">
        <w:rPr>
          <w:b/>
        </w:rPr>
        <w:t>.</w:t>
      </w:r>
      <w:r w:rsidR="00C0616D">
        <w:rPr>
          <w:b/>
        </w:rPr>
        <w:t xml:space="preserve"> </w:t>
      </w:r>
      <w:r w:rsidR="00CF14B9">
        <w:rPr>
          <w:b/>
        </w:rPr>
        <w:t>Encerramento:</w:t>
      </w:r>
      <w:r w:rsidR="00CF14B9" w:rsidRPr="000203FB">
        <w:t xml:space="preserve"> </w:t>
      </w:r>
      <w:r w:rsidR="000203FB" w:rsidRPr="000203FB">
        <w:t>Não havendo mais perguntas, o coordenador adjunto</w:t>
      </w:r>
      <w:r w:rsidR="000203FB">
        <w:t xml:space="preserve"> Sr. Henrique agradeceu a presença de todos e a disponibilidade da palestrante, Sra. Carolina, em colabora</w:t>
      </w:r>
      <w:r w:rsidR="0041718E">
        <w:t xml:space="preserve">r com um maior entendimento sobre o assunto, encerrando-se a reunião as </w:t>
      </w:r>
      <w:proofErr w:type="gramStart"/>
      <w:r w:rsidR="0041718E">
        <w:t>12:50</w:t>
      </w:r>
      <w:proofErr w:type="gramEnd"/>
      <w:r w:rsidR="0041718E">
        <w:t xml:space="preserve"> h.</w:t>
      </w:r>
    </w:p>
    <w:p w:rsidR="00375527" w:rsidRDefault="00375527" w:rsidP="00375527">
      <w:pPr>
        <w:spacing w:before="120"/>
        <w:jc w:val="center"/>
      </w:pPr>
    </w:p>
    <w:p w:rsidR="00375527" w:rsidRDefault="00375527" w:rsidP="00375527">
      <w:pPr>
        <w:spacing w:before="120"/>
        <w:jc w:val="center"/>
      </w:pPr>
    </w:p>
    <w:p w:rsidR="00375527" w:rsidRPr="00D042E2" w:rsidRDefault="00375527" w:rsidP="00375527">
      <w:pPr>
        <w:spacing w:before="120"/>
        <w:jc w:val="center"/>
      </w:pPr>
      <w:r w:rsidRPr="00D042E2">
        <w:t>___</w:t>
      </w:r>
      <w:r>
        <w:t>_______________</w:t>
      </w:r>
      <w:r w:rsidRPr="00D042E2">
        <w:t>______________</w:t>
      </w:r>
    </w:p>
    <w:p w:rsidR="00375527" w:rsidRPr="009942D7" w:rsidRDefault="00375527" w:rsidP="00375527">
      <w:pPr>
        <w:jc w:val="center"/>
        <w:rPr>
          <w:i/>
        </w:rPr>
      </w:pPr>
      <w:r>
        <w:rPr>
          <w:i/>
        </w:rPr>
        <w:t>João Primo Baraldi</w:t>
      </w:r>
    </w:p>
    <w:p w:rsidR="00375527" w:rsidRDefault="00375527" w:rsidP="00375527">
      <w:pPr>
        <w:jc w:val="center"/>
      </w:pPr>
      <w:r w:rsidRPr="00D042E2">
        <w:t>Coordenador</w:t>
      </w:r>
      <w:r>
        <w:t xml:space="preserve"> do GT-Mananciais</w:t>
      </w:r>
    </w:p>
    <w:p w:rsidR="00375527" w:rsidRDefault="00375527" w:rsidP="00375527">
      <w:pPr>
        <w:jc w:val="center"/>
      </w:pPr>
      <w:r>
        <w:t>CT-RURAL</w:t>
      </w:r>
    </w:p>
    <w:p w:rsidR="00375527" w:rsidRDefault="00375527" w:rsidP="00375527">
      <w:pPr>
        <w:jc w:val="center"/>
      </w:pPr>
    </w:p>
    <w:p w:rsidR="00375527" w:rsidRDefault="00375527" w:rsidP="00375527">
      <w:pPr>
        <w:jc w:val="center"/>
      </w:pPr>
    </w:p>
    <w:p w:rsidR="00375527" w:rsidRDefault="00375527" w:rsidP="00375527">
      <w:pPr>
        <w:jc w:val="center"/>
      </w:pPr>
    </w:p>
    <w:p w:rsidR="00375527" w:rsidRDefault="00375527" w:rsidP="00375527">
      <w:pPr>
        <w:jc w:val="center"/>
      </w:pPr>
    </w:p>
    <w:p w:rsidR="00375527" w:rsidRDefault="00375527" w:rsidP="00375527">
      <w:pPr>
        <w:jc w:val="center"/>
      </w:pPr>
    </w:p>
    <w:p w:rsidR="00375527" w:rsidRDefault="00375527" w:rsidP="00375527">
      <w:pPr>
        <w:jc w:val="center"/>
      </w:pPr>
      <w:r>
        <w:t>_________________________________</w:t>
      </w:r>
    </w:p>
    <w:p w:rsidR="00375527" w:rsidRDefault="00375527" w:rsidP="00375527">
      <w:pPr>
        <w:jc w:val="center"/>
      </w:pPr>
      <w:r>
        <w:t>Henrique Bellinaso</w:t>
      </w:r>
    </w:p>
    <w:p w:rsidR="00375527" w:rsidRDefault="00375527" w:rsidP="00375527">
      <w:pPr>
        <w:jc w:val="center"/>
      </w:pPr>
      <w:r>
        <w:t>Coordenador Adjunto do GT-Mananciais</w:t>
      </w:r>
    </w:p>
    <w:p w:rsidR="00375527" w:rsidRDefault="00375527" w:rsidP="00375527">
      <w:pPr>
        <w:jc w:val="center"/>
      </w:pPr>
      <w:r>
        <w:t>CT-RN</w:t>
      </w:r>
    </w:p>
    <w:p w:rsidR="00375527" w:rsidRDefault="00375527" w:rsidP="00375527">
      <w:pPr>
        <w:jc w:val="center"/>
      </w:pPr>
    </w:p>
    <w:p w:rsidR="00375527" w:rsidRDefault="00375527" w:rsidP="00375527">
      <w:pPr>
        <w:ind w:left="-284"/>
        <w:jc w:val="center"/>
      </w:pPr>
    </w:p>
    <w:p w:rsidR="00375527" w:rsidRDefault="00375527" w:rsidP="00375527">
      <w:pPr>
        <w:ind w:left="-284"/>
        <w:jc w:val="center"/>
      </w:pPr>
    </w:p>
    <w:p w:rsidR="00375527" w:rsidRDefault="00375527" w:rsidP="00375527">
      <w:pPr>
        <w:ind w:left="-284"/>
        <w:jc w:val="center"/>
      </w:pPr>
    </w:p>
    <w:p w:rsidR="00FC1FD6" w:rsidRDefault="00FC1FD6" w:rsidP="00375527">
      <w:pPr>
        <w:ind w:left="-284"/>
        <w:jc w:val="center"/>
      </w:pPr>
    </w:p>
    <w:p w:rsidR="00375527" w:rsidRPr="00D042E2" w:rsidRDefault="00375527" w:rsidP="00375527">
      <w:pPr>
        <w:spacing w:before="120"/>
        <w:ind w:left="-208"/>
        <w:jc w:val="center"/>
      </w:pPr>
      <w:r w:rsidRPr="00D042E2">
        <w:t>___</w:t>
      </w:r>
      <w:r>
        <w:t>_______________</w:t>
      </w:r>
      <w:r w:rsidRPr="00D042E2">
        <w:t>______________</w:t>
      </w:r>
    </w:p>
    <w:p w:rsidR="00375527" w:rsidRPr="009942D7" w:rsidRDefault="00375527" w:rsidP="00375527">
      <w:pPr>
        <w:ind w:left="-284"/>
        <w:jc w:val="center"/>
        <w:rPr>
          <w:i/>
        </w:rPr>
      </w:pPr>
      <w:r>
        <w:rPr>
          <w:i/>
        </w:rPr>
        <w:t>João José Assumpção de Abreu Demarchi</w:t>
      </w:r>
    </w:p>
    <w:p w:rsidR="00375527" w:rsidRDefault="00375527" w:rsidP="00375527">
      <w:pPr>
        <w:ind w:left="-284"/>
        <w:jc w:val="center"/>
      </w:pPr>
      <w:r>
        <w:t>Secretário GT-Mananciais</w:t>
      </w:r>
    </w:p>
    <w:p w:rsidR="00375527" w:rsidRDefault="00375527" w:rsidP="00375527">
      <w:pPr>
        <w:ind w:left="-284"/>
        <w:jc w:val="center"/>
      </w:pPr>
      <w:r>
        <w:t>CT-RN</w:t>
      </w:r>
    </w:p>
    <w:p w:rsidR="00FC1FD6" w:rsidRDefault="00FC1FD6" w:rsidP="00375527">
      <w:pPr>
        <w:ind w:left="-284"/>
        <w:jc w:val="center"/>
      </w:pPr>
    </w:p>
    <w:p w:rsidR="00FC1FD6" w:rsidRPr="00D042E2" w:rsidRDefault="00FC1FD6" w:rsidP="00375527">
      <w:pPr>
        <w:ind w:left="-284"/>
        <w:jc w:val="center"/>
      </w:pPr>
    </w:p>
    <w:p w:rsidR="00375527" w:rsidRPr="00375527" w:rsidRDefault="00375527" w:rsidP="00375527">
      <w:pPr>
        <w:jc w:val="center"/>
        <w:rPr>
          <w:b/>
        </w:rPr>
      </w:pPr>
      <w:r w:rsidRPr="00375527">
        <w:rPr>
          <w:b/>
        </w:rPr>
        <w:t>INFORMAÇÕES COMPLEMENTARES</w:t>
      </w:r>
    </w:p>
    <w:p w:rsidR="00375527" w:rsidRDefault="00375527" w:rsidP="00375527">
      <w:pPr>
        <w:jc w:val="both"/>
      </w:pPr>
    </w:p>
    <w:p w:rsidR="00375527" w:rsidRDefault="0041718E" w:rsidP="00375527">
      <w:pPr>
        <w:jc w:val="both"/>
      </w:pPr>
      <w:r>
        <w:rPr>
          <w:b/>
          <w:u w:val="single"/>
        </w:rPr>
        <w:t xml:space="preserve">(I) </w:t>
      </w:r>
      <w:r w:rsidR="00375527">
        <w:rPr>
          <w:b/>
          <w:u w:val="single"/>
        </w:rPr>
        <w:t xml:space="preserve">ATA 70ª Reunião CT-RN - Item </w:t>
      </w:r>
      <w:proofErr w:type="gramStart"/>
      <w:r w:rsidR="00375527">
        <w:rPr>
          <w:b/>
          <w:u w:val="single"/>
        </w:rPr>
        <w:t>5</w:t>
      </w:r>
      <w:proofErr w:type="gramEnd"/>
      <w:r w:rsidR="00375527" w:rsidRPr="001166D1">
        <w:rPr>
          <w:b/>
          <w:u w:val="single"/>
        </w:rPr>
        <w:t>.</w:t>
      </w:r>
      <w:r w:rsidR="00375527">
        <w:rPr>
          <w:b/>
          <w:u w:val="single"/>
        </w:rPr>
        <w:t xml:space="preserve"> Resolução SMA nº 32 - Restauração Ecológica:</w:t>
      </w:r>
      <w:r w:rsidR="00375527">
        <w:t xml:space="preserve"> A Sra. Rosilene Dias do Centro de Restauração Ecológica da CBRN/SMA fez uma apresentação sobre a Resolução 32, destacando qu</w:t>
      </w:r>
      <w:r w:rsidR="00375527" w:rsidRPr="000358BF">
        <w:t xml:space="preserve">e: </w:t>
      </w:r>
      <w:r w:rsidR="00375527">
        <w:t>a a</w:t>
      </w:r>
      <w:r w:rsidR="00375527" w:rsidRPr="000358BF">
        <w:t xml:space="preserve">presentação realizada teve o objetivo de fazer uma breve explanação sobre a base legal relacionada </w:t>
      </w:r>
      <w:proofErr w:type="gramStart"/>
      <w:r w:rsidR="00375527" w:rsidRPr="000358BF">
        <w:t>a</w:t>
      </w:r>
      <w:proofErr w:type="gramEnd"/>
      <w:r w:rsidR="00375527" w:rsidRPr="000358BF">
        <w:t xml:space="preserve"> restauração ecológica no Estado de São Paulo:</w:t>
      </w:r>
      <w:r w:rsidR="00375527">
        <w:t xml:space="preserve"> (1) </w:t>
      </w:r>
      <w:r w:rsidR="00375527" w:rsidRPr="000358BF">
        <w:t>Restauração - obrigações legais</w:t>
      </w:r>
      <w:r w:rsidR="00375527">
        <w:t xml:space="preserve"> - </w:t>
      </w:r>
      <w:r w:rsidR="00375527" w:rsidRPr="000358BF">
        <w:rPr>
          <w:bCs/>
        </w:rPr>
        <w:t>Nova Lei florestal - Lei 12651/2012: Exigência não apenas de Preservação, mas também de recomposição das áreas degradadas ou a</w:t>
      </w:r>
      <w:r w:rsidR="00375527">
        <w:rPr>
          <w:bCs/>
        </w:rPr>
        <w:t xml:space="preserve">lteradas em APP e Reserva legal; </w:t>
      </w:r>
      <w:proofErr w:type="spellStart"/>
      <w:r w:rsidR="00375527" w:rsidRPr="000358BF">
        <w:rPr>
          <w:bCs/>
        </w:rPr>
        <w:t>Sicar</w:t>
      </w:r>
      <w:proofErr w:type="spellEnd"/>
      <w:r w:rsidR="00375527" w:rsidRPr="000358BF">
        <w:rPr>
          <w:bCs/>
        </w:rPr>
        <w:t>-SP:  todos os imóveis rurais devem estar inscritos no cadastro ambiental rural.</w:t>
      </w:r>
      <w:r w:rsidR="00375527">
        <w:rPr>
          <w:bCs/>
        </w:rPr>
        <w:t xml:space="preserve"> </w:t>
      </w:r>
      <w:r w:rsidR="00375527" w:rsidRPr="000358BF">
        <w:rPr>
          <w:bCs/>
        </w:rPr>
        <w:t>O CAR é uma ferramenta de gestão ambiental importantíssima para regularização ambiental das propriedades</w:t>
      </w:r>
      <w:r w:rsidR="00375527">
        <w:rPr>
          <w:bCs/>
        </w:rPr>
        <w:t xml:space="preserve">; </w:t>
      </w:r>
      <w:r w:rsidR="00375527" w:rsidRPr="000358BF">
        <w:rPr>
          <w:bCs/>
        </w:rPr>
        <w:t>Uso consolidado e diminuição das faixas de restauração obrigatória: Apenas se aderir ao Programa de Regulação Ambiental (PRA). Obs</w:t>
      </w:r>
      <w:r w:rsidR="00375527">
        <w:rPr>
          <w:bCs/>
        </w:rPr>
        <w:t>ervação</w:t>
      </w:r>
      <w:r w:rsidR="00375527" w:rsidRPr="000358BF">
        <w:rPr>
          <w:bCs/>
        </w:rPr>
        <w:t>: PRA ainda não foi implantado no Estado de SP</w:t>
      </w:r>
      <w:proofErr w:type="gramStart"/>
      <w:r w:rsidR="00375527">
        <w:rPr>
          <w:bCs/>
        </w:rPr>
        <w:t xml:space="preserve"> mas</w:t>
      </w:r>
      <w:proofErr w:type="gramEnd"/>
      <w:r w:rsidR="00375527">
        <w:rPr>
          <w:bCs/>
        </w:rPr>
        <w:t xml:space="preserve"> a expectativa é de um boom na restauração florestal com sua efetiva implantação; (2) </w:t>
      </w:r>
      <w:r w:rsidR="00375527" w:rsidRPr="000358BF">
        <w:rPr>
          <w:bCs/>
        </w:rPr>
        <w:t>Restauração Diretrizes no Estado de SP</w:t>
      </w:r>
      <w:r w:rsidR="00375527">
        <w:rPr>
          <w:bCs/>
        </w:rPr>
        <w:t xml:space="preserve"> - </w:t>
      </w:r>
      <w:r w:rsidR="00375527" w:rsidRPr="000358BF">
        <w:t>Res. SMA 32/2014: Em 2014, após intenso debate com os pesquisadores e profissionais da restauração, a Secretaria do Meio Ambiente consolidou um passo importante no sentido da ampliação da escala da restauração, sem perder de vista a qualidade e efetividade: a Resolução SMA 32/2014 que determinou o uso de indicadores ecológicos para avaliar o cumprimento dos compromissos de recomposição da veg</w:t>
      </w:r>
      <w:r w:rsidR="00375527">
        <w:t xml:space="preserve">etação nativa; </w:t>
      </w:r>
      <w:r w:rsidR="00375527" w:rsidRPr="000358BF">
        <w:t xml:space="preserve">A norma detalha as etapas que devem compor um projeto de restauração ecológica, bem como os resultados mínimos a serem atingidos para que um ecossistema em restauração atinja certa estrutura e funções que apontem para sua autossustentabilidade ao longo do tempo, de modo a conservar a biodiversidade e fornecer serviços ecossistêmicos de modo duradouro: </w:t>
      </w:r>
      <w:r w:rsidR="00375527" w:rsidRPr="003A1F09">
        <w:rPr>
          <w:b/>
        </w:rPr>
        <w:t>O Foco da restauração passa a ser os resultados obtidos e não apenas nas ações planejadas</w:t>
      </w:r>
      <w:r w:rsidR="00375527">
        <w:t xml:space="preserve">; </w:t>
      </w:r>
      <w:r w:rsidR="00375527" w:rsidRPr="000358BF">
        <w:t xml:space="preserve">Portaria CBRN 01/2015 - Protocolo de Monitoramento: em janeiro de 2015, foi instituído o Protocolo de Monitoramento de Projetos de Restauração </w:t>
      </w:r>
      <w:r w:rsidR="00375527" w:rsidRPr="000358BF">
        <w:lastRenderedPageBreak/>
        <w:t>Ecológica a ser adotado no Estado de São Paulo, esclarecendo assim detalhes técnicos sobre como monitorar os indicadores (</w:t>
      </w:r>
      <w:r w:rsidR="00375527">
        <w:t>c</w:t>
      </w:r>
      <w:r w:rsidR="00375527" w:rsidRPr="000358BF">
        <w:t>obertura, densidade de regenerantes e diversidade de regenerante</w:t>
      </w:r>
      <w:r w:rsidR="00375527">
        <w:t xml:space="preserve">s) nas áreas em restauração; </w:t>
      </w:r>
      <w:r w:rsidR="00375527" w:rsidRPr="000358BF">
        <w:t>Sistema Informatizado de Apoio a Restauração Ecológica (SARE): Lançado em 2015, o SARE é uma plataforma digital dinâmica, que permite</w:t>
      </w:r>
      <w:r w:rsidR="00375527" w:rsidRPr="000358BF">
        <w:rPr>
          <w:bCs/>
        </w:rPr>
        <w:t xml:space="preserve"> não apenas a elaboração e cadastro de projetos, mas sua espacialização  e também o seu monitoramento, por meio de indicadores ecológicos conforme previsto na Res. SMA 32/2015</w:t>
      </w:r>
      <w:r w:rsidR="00375527">
        <w:rPr>
          <w:bCs/>
        </w:rPr>
        <w:t xml:space="preserve">. </w:t>
      </w:r>
      <w:r w:rsidR="00375527" w:rsidRPr="000358BF">
        <w:t>Todos os projetos de restauração ecológica executados no estado, inclusive o Projeto de Recomposição de Áreas Degradadas e Alteradas (PRADA), e também aqueles atrelados a exigências de licenciamento ambiental e reparação de danos ambientais, bem como as propostas financiadas com recursos públicos, precisam ser cadastrados no Sistema Informatizado de Apoio à Restauração Ecológica (SARE).</w:t>
      </w:r>
      <w:r w:rsidR="00375527">
        <w:t xml:space="preserve"> Sobre a questão de financiamento, quando há envolvimento de recursos do FEHIDRO as exigências quanto </w:t>
      </w:r>
      <w:proofErr w:type="gramStart"/>
      <w:r w:rsidR="00375527">
        <w:t>a</w:t>
      </w:r>
      <w:proofErr w:type="gramEnd"/>
      <w:r w:rsidR="00375527">
        <w:t xml:space="preserve"> área a ser restaurada dobra, como também acontece no projeto Nascentes onde a Bacia PCJ é prioritária. A palestrante comentou que ainda há muita referência a Resolução nº 08 que tratava deste assunto (Instituto de Botânica). Na parte de discussão posterior a apresentação, o Sr. Bordignon (CETESB) comentou sobre o problema do controle químico nestas áreas através do uso de herbicidas. Disse que esse problema precisa ser analisado como um tripé (planta daninha x planta florestal x molécula do herbicida) e que não existe nenhum produto autorizado, sendo</w:t>
      </w:r>
      <w:proofErr w:type="gramStart"/>
      <w:r w:rsidR="00375527">
        <w:t xml:space="preserve"> portanto</w:t>
      </w:r>
      <w:proofErr w:type="gramEnd"/>
      <w:r w:rsidR="00375527">
        <w:t xml:space="preserve"> um problema do ponto de vista legal. Comentou que o Prof. Ricardo Rodrigues da ESALQ e a SOS Mata Atlântica tem usado herbicidas. </w:t>
      </w:r>
      <w:proofErr w:type="gramStart"/>
      <w:r w:rsidR="00375527">
        <w:t>Sobre esse assunto foram citadas as Resoluções da SMA 42/2016 e 57 - CERADE)</w:t>
      </w:r>
      <w:proofErr w:type="gramEnd"/>
      <w:r w:rsidR="00375527">
        <w:t>.  Há</w:t>
      </w:r>
      <w:proofErr w:type="gramStart"/>
      <w:r w:rsidR="00375527">
        <w:t xml:space="preserve"> portanto</w:t>
      </w:r>
      <w:proofErr w:type="gramEnd"/>
      <w:r w:rsidR="00375527">
        <w:t xml:space="preserve"> problemas com o projeto cadastrado no SARE sobre este aspecto, novamente frisando que este assunto precisa ser mais debatido já que o produto final da restauração é o que mais interessa, principalmente com o aumento do projetos de SAF. A Sra. Maria Eugênia (Agência PCJ) perguntou se as prefeituras municipais poderiam monitorar o SARE. A palestrante lembra que o prazo de 20 anos é uma data limite para que os indicadores preconizados sejam efetivamente atingidos e não o prazo máximo para iniciar o processo. Do ponto de vista legal de monitoramento, o prazo de monitoramento mínimo é de </w:t>
      </w:r>
      <w:proofErr w:type="gramStart"/>
      <w:r w:rsidR="00375527">
        <w:t>3</w:t>
      </w:r>
      <w:proofErr w:type="gramEnd"/>
      <w:r w:rsidR="00375527">
        <w:t xml:space="preserve"> anos, quando os indicadores podem já terem sido atingidos. Novamente houve um questionamento se a SMA "vai ter pernas" para o monitoramento. Finalizando case ressaltar uma mudança importante de paradigma, já que agora o plantio convencional com um mínimo de 80 espécies não é mais exigido, mas sim </w:t>
      </w:r>
      <w:r w:rsidR="00375527">
        <w:lastRenderedPageBreak/>
        <w:t>diversidade. A restauração pode ser feita por diferentes métodos que a pesquisa já estudou, sendo que a SMA pretende divulgar todos esses estudos, como a "</w:t>
      </w:r>
      <w:proofErr w:type="spellStart"/>
      <w:r w:rsidR="00375527" w:rsidRPr="00623162">
        <w:rPr>
          <w:i/>
        </w:rPr>
        <w:t>muvuca</w:t>
      </w:r>
      <w:proofErr w:type="spellEnd"/>
      <w:r w:rsidR="00375527">
        <w:t xml:space="preserve">", um </w:t>
      </w:r>
      <w:proofErr w:type="spellStart"/>
      <w:r w:rsidR="00375527">
        <w:t>mix</w:t>
      </w:r>
      <w:proofErr w:type="spellEnd"/>
      <w:r w:rsidR="00375527">
        <w:t xml:space="preserve"> de sementes que garante diversidade e custos muito inferiores aos tradicionais. Outro ponto é que os viveiros não oferecem as espécies em extinção ou de mais difícil produção, mas agora a SMA não mais tem essa exigência. A Sra. Natália enfatiza que as exigências anteriores de plantio não </w:t>
      </w:r>
      <w:proofErr w:type="gramStart"/>
      <w:r w:rsidR="00375527">
        <w:t>tem sido garantia</w:t>
      </w:r>
      <w:proofErr w:type="gramEnd"/>
      <w:r w:rsidR="00375527">
        <w:t xml:space="preserve"> de que essas mudas se transformem em árvores e haja de fato restauração florestal.</w:t>
      </w:r>
    </w:p>
    <w:p w:rsidR="00375527" w:rsidRDefault="00375527" w:rsidP="00375527">
      <w:pPr>
        <w:jc w:val="both"/>
      </w:pPr>
    </w:p>
    <w:p w:rsidR="0041718E" w:rsidRDefault="0041718E" w:rsidP="00375527">
      <w:pPr>
        <w:jc w:val="both"/>
      </w:pPr>
      <w:r>
        <w:t>Anexos enviados com a ATA:</w:t>
      </w:r>
    </w:p>
    <w:p w:rsidR="0041718E" w:rsidRDefault="0041718E" w:rsidP="00375527">
      <w:pPr>
        <w:jc w:val="both"/>
      </w:pPr>
    </w:p>
    <w:p w:rsidR="00375527" w:rsidRDefault="0041718E" w:rsidP="00375527">
      <w:pPr>
        <w:jc w:val="both"/>
      </w:pPr>
      <w:r>
        <w:rPr>
          <w:b/>
        </w:rPr>
        <w:t xml:space="preserve">(II) Resolução SMA nº 32 de 03 de abril de 2014 - </w:t>
      </w:r>
      <w:r w:rsidRPr="0041718E">
        <w:t>Estabelece as orientações, diretrizes e critérios sobre restauração ecológica no estado de São Paulo, e dá providências correlatas;</w:t>
      </w:r>
    </w:p>
    <w:p w:rsidR="0041718E" w:rsidRPr="0041718E" w:rsidRDefault="0041718E" w:rsidP="00375527">
      <w:pPr>
        <w:jc w:val="both"/>
      </w:pPr>
    </w:p>
    <w:p w:rsidR="0041718E" w:rsidRPr="0041718E" w:rsidRDefault="0041718E" w:rsidP="00375527">
      <w:pPr>
        <w:jc w:val="both"/>
      </w:pPr>
      <w:r>
        <w:rPr>
          <w:b/>
        </w:rPr>
        <w:t xml:space="preserve">(III) Portaria CBRN nº 01/2015 - </w:t>
      </w:r>
      <w:r w:rsidRPr="0041718E">
        <w:t>Protocolo de Monitoramento de Projetos de Restauração Ecológica.</w:t>
      </w:r>
    </w:p>
    <w:p w:rsidR="0041718E" w:rsidRPr="0041718E" w:rsidRDefault="0041718E" w:rsidP="00375527">
      <w:pPr>
        <w:jc w:val="both"/>
      </w:pPr>
    </w:p>
    <w:p w:rsidR="0041718E" w:rsidRDefault="0041718E" w:rsidP="00375527">
      <w:pPr>
        <w:jc w:val="both"/>
        <w:rPr>
          <w:b/>
        </w:rPr>
      </w:pPr>
    </w:p>
    <w:p w:rsidR="0041718E" w:rsidRDefault="0041718E" w:rsidP="00375527">
      <w:pPr>
        <w:jc w:val="both"/>
        <w:rPr>
          <w:b/>
        </w:rPr>
      </w:pPr>
    </w:p>
    <w:p w:rsidR="0041718E" w:rsidRDefault="0041718E" w:rsidP="00375527">
      <w:pPr>
        <w:jc w:val="both"/>
        <w:rPr>
          <w:b/>
        </w:rPr>
      </w:pPr>
    </w:p>
    <w:p w:rsidR="0041718E" w:rsidRDefault="0041718E" w:rsidP="00375527">
      <w:pPr>
        <w:jc w:val="both"/>
        <w:rPr>
          <w:b/>
        </w:rPr>
      </w:pPr>
    </w:p>
    <w:p w:rsidR="0041718E" w:rsidRPr="00D042E2" w:rsidRDefault="0041718E" w:rsidP="0041718E">
      <w:pPr>
        <w:spacing w:before="120"/>
        <w:ind w:left="-208"/>
        <w:jc w:val="center"/>
      </w:pPr>
      <w:r w:rsidRPr="00D042E2">
        <w:t>___</w:t>
      </w:r>
      <w:r>
        <w:t>_______________</w:t>
      </w:r>
      <w:r w:rsidRPr="00D042E2">
        <w:t>______________</w:t>
      </w:r>
    </w:p>
    <w:p w:rsidR="0041718E" w:rsidRPr="009942D7" w:rsidRDefault="0041718E" w:rsidP="0041718E">
      <w:pPr>
        <w:ind w:left="-284"/>
        <w:jc w:val="center"/>
        <w:rPr>
          <w:i/>
        </w:rPr>
      </w:pPr>
      <w:r>
        <w:rPr>
          <w:i/>
        </w:rPr>
        <w:t>João José Assumpção de Abreu Demarchi</w:t>
      </w:r>
    </w:p>
    <w:p w:rsidR="0041718E" w:rsidRDefault="0041718E" w:rsidP="0041718E">
      <w:pPr>
        <w:ind w:left="-284"/>
        <w:jc w:val="center"/>
      </w:pPr>
      <w:r>
        <w:t>Secretário GT-Mananciais</w:t>
      </w:r>
    </w:p>
    <w:p w:rsidR="0041718E" w:rsidRPr="00D042E2" w:rsidRDefault="0041718E" w:rsidP="0041718E">
      <w:pPr>
        <w:ind w:left="-284"/>
        <w:jc w:val="center"/>
      </w:pPr>
      <w:r>
        <w:t>CT-RN</w:t>
      </w:r>
    </w:p>
    <w:p w:rsidR="0057293F" w:rsidRDefault="0057293F" w:rsidP="00375527">
      <w:pPr>
        <w:spacing w:before="120"/>
        <w:jc w:val="both"/>
      </w:pPr>
    </w:p>
    <w:p w:rsidR="00AF2E6E" w:rsidRDefault="00AF2E6E" w:rsidP="00375527">
      <w:pPr>
        <w:spacing w:before="120"/>
        <w:jc w:val="both"/>
      </w:pPr>
    </w:p>
    <w:sectPr w:rsidR="00AF2E6E" w:rsidSect="00D9010E">
      <w:headerReference w:type="default" r:id="rId9"/>
      <w:footerReference w:type="default" r:id="rId10"/>
      <w:type w:val="continuous"/>
      <w:pgSz w:w="12240" w:h="15840"/>
      <w:pgMar w:top="1417" w:right="616" w:bottom="1417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CC" w:rsidRDefault="00CB56CC">
      <w:r>
        <w:separator/>
      </w:r>
    </w:p>
  </w:endnote>
  <w:endnote w:type="continuationSeparator" w:id="0">
    <w:p w:rsidR="00CB56CC" w:rsidRDefault="00CB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15" w:rsidRDefault="00557015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D5A2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D5A21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CC" w:rsidRDefault="00CB56CC">
      <w:r>
        <w:separator/>
      </w:r>
    </w:p>
  </w:footnote>
  <w:footnote w:type="continuationSeparator" w:id="0">
    <w:p w:rsidR="00CB56CC" w:rsidRDefault="00CB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557015" w:rsidTr="00D042E2">
      <w:trPr>
        <w:jc w:val="center"/>
      </w:trPr>
      <w:tc>
        <w:tcPr>
          <w:tcW w:w="9568" w:type="dxa"/>
        </w:tcPr>
        <w:p w:rsidR="00557015" w:rsidRDefault="00557015" w:rsidP="00D042E2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:rsidR="00557015" w:rsidRDefault="00557015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</w:t>
          </w:r>
          <w:proofErr w:type="gramStart"/>
          <w:r>
            <w:rPr>
              <w:sz w:val="16"/>
            </w:rPr>
            <w:t>)</w:t>
          </w:r>
          <w:proofErr w:type="gramEnd"/>
        </w:p>
      </w:tc>
      <w:tc>
        <w:tcPr>
          <w:tcW w:w="992" w:type="dxa"/>
        </w:tcPr>
        <w:p w:rsidR="00557015" w:rsidRDefault="00557015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>
                <wp:extent cx="603885" cy="577850"/>
                <wp:effectExtent l="19050" t="0" r="5715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7015" w:rsidRDefault="00557015">
    <w:pPr>
      <w:pStyle w:val="Cabealho"/>
      <w:jc w:val="center"/>
      <w:rPr>
        <w:sz w:val="24"/>
      </w:rPr>
    </w:pPr>
    <w:r w:rsidRPr="00D042E2">
      <w:rPr>
        <w:sz w:val="24"/>
      </w:rPr>
      <w:t>CT-</w:t>
    </w:r>
    <w:r>
      <w:rPr>
        <w:sz w:val="24"/>
      </w:rPr>
      <w:t>Rural</w:t>
    </w:r>
    <w:r w:rsidRPr="00D042E2">
      <w:rPr>
        <w:sz w:val="24"/>
      </w:rPr>
      <w:t>: CÂMARA TÉCNICA DE _</w:t>
    </w:r>
    <w:r>
      <w:rPr>
        <w:sz w:val="24"/>
      </w:rPr>
      <w:t>CONSERVAÇÃO E USO DA ÁGUA NO MEIO RURAL</w:t>
    </w:r>
    <w:r w:rsidRPr="00D042E2">
      <w:rPr>
        <w:sz w:val="24"/>
      </w:rPr>
      <w:t xml:space="preserve"> </w:t>
    </w:r>
  </w:p>
  <w:p w:rsidR="00557015" w:rsidRDefault="00557015" w:rsidP="00BA7C21">
    <w:pPr>
      <w:pStyle w:val="Cabealho"/>
      <w:jc w:val="center"/>
      <w:rPr>
        <w:sz w:val="24"/>
      </w:rPr>
    </w:pPr>
    <w:r>
      <w:rPr>
        <w:sz w:val="24"/>
      </w:rPr>
      <w:t>CT-RN</w:t>
    </w:r>
    <w:r w:rsidRPr="00D042E2">
      <w:rPr>
        <w:sz w:val="24"/>
      </w:rPr>
      <w:t>: CÂMARA TÉCNICA DE</w:t>
    </w:r>
    <w:r>
      <w:rPr>
        <w:sz w:val="24"/>
      </w:rPr>
      <w:t xml:space="preserve"> PROTEÇÃO E CONSERVAÇÃO DOS RECURSOS NATURAIS</w:t>
    </w:r>
    <w:r w:rsidRPr="00D042E2">
      <w:rPr>
        <w:sz w:val="24"/>
      </w:rPr>
      <w:t xml:space="preserve"> </w:t>
    </w:r>
  </w:p>
  <w:p w:rsidR="00557015" w:rsidRDefault="00557015" w:rsidP="001F4CE8">
    <w:pPr>
      <w:pStyle w:val="Cabealho"/>
      <w:rPr>
        <w:sz w:val="24"/>
      </w:rPr>
    </w:pPr>
    <w:r>
      <w:rPr>
        <w:sz w:val="24"/>
      </w:rPr>
      <w:tab/>
      <w:t>GRUPO DE TRABALHO – GT-MANANCIAIS</w:t>
    </w:r>
  </w:p>
  <w:p w:rsidR="00557015" w:rsidRPr="00D042E2" w:rsidRDefault="00557015" w:rsidP="00BA7C21">
    <w:pPr>
      <w:pStyle w:val="Cabealho"/>
      <w:jc w:val="center"/>
      <w:rPr>
        <w:sz w:val="22"/>
      </w:rPr>
    </w:pPr>
    <w:r>
      <w:rPr>
        <w:sz w:val="22"/>
      </w:rPr>
      <w:t>Ata da 5</w:t>
    </w:r>
    <w:r w:rsidRPr="00D042E2">
      <w:rPr>
        <w:sz w:val="22"/>
      </w:rPr>
      <w:t xml:space="preserve">ª Reunião Ordinária - </w:t>
    </w:r>
    <w:r>
      <w:rPr>
        <w:sz w:val="22"/>
      </w:rPr>
      <w:t>29</w:t>
    </w:r>
    <w:r w:rsidRPr="00D042E2">
      <w:rPr>
        <w:sz w:val="22"/>
      </w:rPr>
      <w:t>/</w:t>
    </w:r>
    <w:r>
      <w:rPr>
        <w:sz w:val="22"/>
      </w:rPr>
      <w:t>08</w:t>
    </w:r>
    <w:r w:rsidRPr="00D042E2">
      <w:rPr>
        <w:sz w:val="22"/>
      </w:rPr>
      <w:t>/</w:t>
    </w:r>
    <w:r>
      <w:rPr>
        <w:sz w:val="22"/>
      </w:rPr>
      <w:t>2016 –</w:t>
    </w:r>
    <w:r w:rsidRPr="00D042E2">
      <w:rPr>
        <w:sz w:val="22"/>
      </w:rPr>
      <w:t xml:space="preserve"> </w:t>
    </w:r>
    <w:r>
      <w:rPr>
        <w:sz w:val="22"/>
      </w:rPr>
      <w:t xml:space="preserve">9-13 </w:t>
    </w:r>
    <w:r w:rsidRPr="00D042E2">
      <w:rPr>
        <w:sz w:val="22"/>
      </w:rPr>
      <w:t>h</w:t>
    </w:r>
  </w:p>
  <w:p w:rsidR="00557015" w:rsidRPr="009942D7" w:rsidRDefault="00557015">
    <w:pPr>
      <w:pStyle w:val="Cabealho"/>
      <w:jc w:val="center"/>
      <w:rPr>
        <w:i/>
        <w:sz w:val="24"/>
      </w:rPr>
    </w:pPr>
    <w:r>
      <w:rPr>
        <w:i/>
        <w:sz w:val="24"/>
      </w:rPr>
      <w:t>INSTITUTO DE ZOOTECNIA – Nova Odessa - SP</w:t>
    </w:r>
  </w:p>
  <w:p w:rsidR="00557015" w:rsidRDefault="005570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1">
    <w:nsid w:val="54AB7926"/>
    <w:multiLevelType w:val="hybridMultilevel"/>
    <w:tmpl w:val="D69839F6"/>
    <w:lvl w:ilvl="0" w:tplc="C5F26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A5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EC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87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C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21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27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933C1"/>
    <w:multiLevelType w:val="hybridMultilevel"/>
    <w:tmpl w:val="D48CA252"/>
    <w:lvl w:ilvl="0" w:tplc="C64CF0E0">
      <w:start w:val="1"/>
      <w:numFmt w:val="decimal"/>
      <w:lvlText w:val="%1."/>
      <w:lvlJc w:val="left"/>
      <w:pPr>
        <w:ind w:left="1428" w:hanging="360"/>
      </w:pPr>
    </w:lvl>
    <w:lvl w:ilvl="1" w:tplc="5986F8B4">
      <w:start w:val="1"/>
      <w:numFmt w:val="lowerLetter"/>
      <w:lvlText w:val="%2."/>
      <w:lvlJc w:val="left"/>
      <w:pPr>
        <w:ind w:left="2148" w:hanging="360"/>
      </w:pPr>
    </w:lvl>
    <w:lvl w:ilvl="2" w:tplc="D7100BA4" w:tentative="1">
      <w:start w:val="1"/>
      <w:numFmt w:val="lowerRoman"/>
      <w:lvlText w:val="%3."/>
      <w:lvlJc w:val="right"/>
      <w:pPr>
        <w:ind w:left="2868" w:hanging="180"/>
      </w:pPr>
    </w:lvl>
    <w:lvl w:ilvl="3" w:tplc="FFA4DC7C" w:tentative="1">
      <w:start w:val="1"/>
      <w:numFmt w:val="decimal"/>
      <w:lvlText w:val="%4."/>
      <w:lvlJc w:val="left"/>
      <w:pPr>
        <w:ind w:left="3588" w:hanging="360"/>
      </w:pPr>
    </w:lvl>
    <w:lvl w:ilvl="4" w:tplc="3B26811A" w:tentative="1">
      <w:start w:val="1"/>
      <w:numFmt w:val="lowerLetter"/>
      <w:lvlText w:val="%5."/>
      <w:lvlJc w:val="left"/>
      <w:pPr>
        <w:ind w:left="4308" w:hanging="360"/>
      </w:pPr>
    </w:lvl>
    <w:lvl w:ilvl="5" w:tplc="31DC0C1E" w:tentative="1">
      <w:start w:val="1"/>
      <w:numFmt w:val="lowerRoman"/>
      <w:lvlText w:val="%6."/>
      <w:lvlJc w:val="right"/>
      <w:pPr>
        <w:ind w:left="5028" w:hanging="180"/>
      </w:pPr>
    </w:lvl>
    <w:lvl w:ilvl="6" w:tplc="5A004772" w:tentative="1">
      <w:start w:val="1"/>
      <w:numFmt w:val="decimal"/>
      <w:lvlText w:val="%7."/>
      <w:lvlJc w:val="left"/>
      <w:pPr>
        <w:ind w:left="5748" w:hanging="360"/>
      </w:pPr>
    </w:lvl>
    <w:lvl w:ilvl="7" w:tplc="6E2E64BC" w:tentative="1">
      <w:start w:val="1"/>
      <w:numFmt w:val="lowerLetter"/>
      <w:lvlText w:val="%8."/>
      <w:lvlJc w:val="left"/>
      <w:pPr>
        <w:ind w:left="6468" w:hanging="360"/>
      </w:pPr>
    </w:lvl>
    <w:lvl w:ilvl="8" w:tplc="D96A5B9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1"/>
    <w:rsid w:val="00011966"/>
    <w:rsid w:val="000203FB"/>
    <w:rsid w:val="00026B82"/>
    <w:rsid w:val="00053F8D"/>
    <w:rsid w:val="000A66CC"/>
    <w:rsid w:val="000D49BA"/>
    <w:rsid w:val="0011414B"/>
    <w:rsid w:val="0013727E"/>
    <w:rsid w:val="001501FA"/>
    <w:rsid w:val="00152141"/>
    <w:rsid w:val="001612A3"/>
    <w:rsid w:val="00166036"/>
    <w:rsid w:val="00197EFF"/>
    <w:rsid w:val="001A0036"/>
    <w:rsid w:val="001A0302"/>
    <w:rsid w:val="001C5AC0"/>
    <w:rsid w:val="001D0535"/>
    <w:rsid w:val="001D489D"/>
    <w:rsid w:val="001E3972"/>
    <w:rsid w:val="001E6D41"/>
    <w:rsid w:val="001F4CE8"/>
    <w:rsid w:val="001F7C38"/>
    <w:rsid w:val="00200489"/>
    <w:rsid w:val="002005CB"/>
    <w:rsid w:val="0020584F"/>
    <w:rsid w:val="00210385"/>
    <w:rsid w:val="002348B2"/>
    <w:rsid w:val="00251A5B"/>
    <w:rsid w:val="00283BC4"/>
    <w:rsid w:val="002B6F58"/>
    <w:rsid w:val="002D3189"/>
    <w:rsid w:val="002D3CFE"/>
    <w:rsid w:val="002E4004"/>
    <w:rsid w:val="00325568"/>
    <w:rsid w:val="00325572"/>
    <w:rsid w:val="003526AF"/>
    <w:rsid w:val="0035643F"/>
    <w:rsid w:val="00375319"/>
    <w:rsid w:val="00375527"/>
    <w:rsid w:val="0038198B"/>
    <w:rsid w:val="003B0386"/>
    <w:rsid w:val="003B5D88"/>
    <w:rsid w:val="003B6E6E"/>
    <w:rsid w:val="003C2CB1"/>
    <w:rsid w:val="003C4FAE"/>
    <w:rsid w:val="003C7312"/>
    <w:rsid w:val="003E7EC4"/>
    <w:rsid w:val="00405507"/>
    <w:rsid w:val="00411C30"/>
    <w:rsid w:val="0041718E"/>
    <w:rsid w:val="004316A1"/>
    <w:rsid w:val="00444A90"/>
    <w:rsid w:val="004622F8"/>
    <w:rsid w:val="00476E9D"/>
    <w:rsid w:val="00480ECC"/>
    <w:rsid w:val="00497106"/>
    <w:rsid w:val="004A0513"/>
    <w:rsid w:val="004A24EE"/>
    <w:rsid w:val="004B2BBE"/>
    <w:rsid w:val="004D31E7"/>
    <w:rsid w:val="004E2CC1"/>
    <w:rsid w:val="004E2D74"/>
    <w:rsid w:val="005017E2"/>
    <w:rsid w:val="0051313C"/>
    <w:rsid w:val="00514A11"/>
    <w:rsid w:val="00554097"/>
    <w:rsid w:val="00557015"/>
    <w:rsid w:val="00557708"/>
    <w:rsid w:val="0057293F"/>
    <w:rsid w:val="00575FEC"/>
    <w:rsid w:val="005B1784"/>
    <w:rsid w:val="005B704C"/>
    <w:rsid w:val="005C072A"/>
    <w:rsid w:val="005D00F5"/>
    <w:rsid w:val="005E18C4"/>
    <w:rsid w:val="005E1D30"/>
    <w:rsid w:val="005F17ED"/>
    <w:rsid w:val="005F43FA"/>
    <w:rsid w:val="0061775A"/>
    <w:rsid w:val="00620F07"/>
    <w:rsid w:val="00627584"/>
    <w:rsid w:val="0063544F"/>
    <w:rsid w:val="006356B0"/>
    <w:rsid w:val="006420ED"/>
    <w:rsid w:val="00647C35"/>
    <w:rsid w:val="00663F9E"/>
    <w:rsid w:val="00670E3B"/>
    <w:rsid w:val="00673B19"/>
    <w:rsid w:val="006A052B"/>
    <w:rsid w:val="006A3460"/>
    <w:rsid w:val="006A6935"/>
    <w:rsid w:val="006A7FFC"/>
    <w:rsid w:val="006B6A25"/>
    <w:rsid w:val="006D6ECE"/>
    <w:rsid w:val="00722518"/>
    <w:rsid w:val="0074171A"/>
    <w:rsid w:val="007460E5"/>
    <w:rsid w:val="0075513D"/>
    <w:rsid w:val="007561CB"/>
    <w:rsid w:val="007605D6"/>
    <w:rsid w:val="007724D7"/>
    <w:rsid w:val="00777BEC"/>
    <w:rsid w:val="00781CEF"/>
    <w:rsid w:val="007822F4"/>
    <w:rsid w:val="00785B2B"/>
    <w:rsid w:val="007A6BAC"/>
    <w:rsid w:val="007B51A6"/>
    <w:rsid w:val="007C4003"/>
    <w:rsid w:val="007F24FB"/>
    <w:rsid w:val="007F78A5"/>
    <w:rsid w:val="00817B64"/>
    <w:rsid w:val="00834CEF"/>
    <w:rsid w:val="00854E85"/>
    <w:rsid w:val="00857859"/>
    <w:rsid w:val="00861CF7"/>
    <w:rsid w:val="00871293"/>
    <w:rsid w:val="008938CB"/>
    <w:rsid w:val="008A76EB"/>
    <w:rsid w:val="008D1D48"/>
    <w:rsid w:val="008E3A19"/>
    <w:rsid w:val="008F09CD"/>
    <w:rsid w:val="00913D34"/>
    <w:rsid w:val="00925BFF"/>
    <w:rsid w:val="00950327"/>
    <w:rsid w:val="00971EFE"/>
    <w:rsid w:val="009820B2"/>
    <w:rsid w:val="009942D7"/>
    <w:rsid w:val="009D5A21"/>
    <w:rsid w:val="009E0D5F"/>
    <w:rsid w:val="00A00D7A"/>
    <w:rsid w:val="00A0387A"/>
    <w:rsid w:val="00A068C7"/>
    <w:rsid w:val="00A2131B"/>
    <w:rsid w:val="00A2290A"/>
    <w:rsid w:val="00A309D8"/>
    <w:rsid w:val="00A35417"/>
    <w:rsid w:val="00A4646A"/>
    <w:rsid w:val="00A57119"/>
    <w:rsid w:val="00A661FB"/>
    <w:rsid w:val="00A7672C"/>
    <w:rsid w:val="00A90884"/>
    <w:rsid w:val="00AA26BA"/>
    <w:rsid w:val="00AA33F5"/>
    <w:rsid w:val="00AC0948"/>
    <w:rsid w:val="00AC323F"/>
    <w:rsid w:val="00AE668A"/>
    <w:rsid w:val="00AE79CC"/>
    <w:rsid w:val="00AF044F"/>
    <w:rsid w:val="00AF2E6E"/>
    <w:rsid w:val="00B00817"/>
    <w:rsid w:val="00B146B2"/>
    <w:rsid w:val="00B30FE2"/>
    <w:rsid w:val="00B46E34"/>
    <w:rsid w:val="00B50A28"/>
    <w:rsid w:val="00B57CDD"/>
    <w:rsid w:val="00B60D9B"/>
    <w:rsid w:val="00B71627"/>
    <w:rsid w:val="00B83DB0"/>
    <w:rsid w:val="00B94190"/>
    <w:rsid w:val="00BA7B47"/>
    <w:rsid w:val="00BA7C21"/>
    <w:rsid w:val="00BC18A6"/>
    <w:rsid w:val="00BC7A18"/>
    <w:rsid w:val="00BF0BF1"/>
    <w:rsid w:val="00BF0CA1"/>
    <w:rsid w:val="00BF5FE1"/>
    <w:rsid w:val="00C0179E"/>
    <w:rsid w:val="00C0616D"/>
    <w:rsid w:val="00C200E0"/>
    <w:rsid w:val="00C26888"/>
    <w:rsid w:val="00C4065D"/>
    <w:rsid w:val="00C43050"/>
    <w:rsid w:val="00C83420"/>
    <w:rsid w:val="00CB56CC"/>
    <w:rsid w:val="00CF14B9"/>
    <w:rsid w:val="00CF55A4"/>
    <w:rsid w:val="00D03A19"/>
    <w:rsid w:val="00D042E2"/>
    <w:rsid w:val="00D0582D"/>
    <w:rsid w:val="00D14771"/>
    <w:rsid w:val="00D15D7F"/>
    <w:rsid w:val="00D20BEA"/>
    <w:rsid w:val="00D20E22"/>
    <w:rsid w:val="00D658A5"/>
    <w:rsid w:val="00D84DD7"/>
    <w:rsid w:val="00D9010E"/>
    <w:rsid w:val="00DB1EDD"/>
    <w:rsid w:val="00DC64B2"/>
    <w:rsid w:val="00DE0B46"/>
    <w:rsid w:val="00DE1E49"/>
    <w:rsid w:val="00DF0275"/>
    <w:rsid w:val="00E00587"/>
    <w:rsid w:val="00E03B89"/>
    <w:rsid w:val="00E060FE"/>
    <w:rsid w:val="00E1171A"/>
    <w:rsid w:val="00E64C75"/>
    <w:rsid w:val="00E82C0D"/>
    <w:rsid w:val="00E91D9C"/>
    <w:rsid w:val="00EA0EEC"/>
    <w:rsid w:val="00EB2689"/>
    <w:rsid w:val="00EB3C7D"/>
    <w:rsid w:val="00EC35AC"/>
    <w:rsid w:val="00ED4C60"/>
    <w:rsid w:val="00EE575B"/>
    <w:rsid w:val="00EE790F"/>
    <w:rsid w:val="00EF2D03"/>
    <w:rsid w:val="00F003B1"/>
    <w:rsid w:val="00F15744"/>
    <w:rsid w:val="00F20856"/>
    <w:rsid w:val="00F230AC"/>
    <w:rsid w:val="00F4591E"/>
    <w:rsid w:val="00F66DA6"/>
    <w:rsid w:val="00F73C76"/>
    <w:rsid w:val="00F75FDF"/>
    <w:rsid w:val="00F80B8F"/>
    <w:rsid w:val="00FC1FD6"/>
    <w:rsid w:val="00FE2AD2"/>
    <w:rsid w:val="00FF4DA8"/>
    <w:rsid w:val="00FF6B29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0E"/>
  </w:style>
  <w:style w:type="paragraph" w:styleId="Ttulo1">
    <w:name w:val="heading 1"/>
    <w:basedOn w:val="Normal"/>
    <w:next w:val="Normal"/>
    <w:qFormat/>
    <w:rsid w:val="00D9010E"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rsid w:val="00D9010E"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D9010E"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9010E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D9010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rsid w:val="00D901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9010E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D9010E"/>
    <w:rPr>
      <w:color w:val="0000FF"/>
      <w:u w:val="single"/>
    </w:rPr>
  </w:style>
  <w:style w:type="character" w:styleId="Forte">
    <w:name w:val="Strong"/>
    <w:qFormat/>
    <w:rsid w:val="00D9010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0E"/>
  </w:style>
  <w:style w:type="paragraph" w:styleId="Ttulo1">
    <w:name w:val="heading 1"/>
    <w:basedOn w:val="Normal"/>
    <w:next w:val="Normal"/>
    <w:qFormat/>
    <w:rsid w:val="00D9010E"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rsid w:val="00D9010E"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D9010E"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9010E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D9010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rsid w:val="00D901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9010E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D9010E"/>
    <w:rPr>
      <w:color w:val="0000FF"/>
      <w:u w:val="single"/>
    </w:rPr>
  </w:style>
  <w:style w:type="character" w:styleId="Forte">
    <w:name w:val="Strong"/>
    <w:qFormat/>
    <w:rsid w:val="00D9010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857F-E0E4-47B7-8ADD-0E925FFD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2564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presentes</vt:lpstr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creator>daeebmt</dc:creator>
  <cp:lastModifiedBy>rodrigo</cp:lastModifiedBy>
  <cp:revision>2</cp:revision>
  <cp:lastPrinted>2016-10-31T17:10:00Z</cp:lastPrinted>
  <dcterms:created xsi:type="dcterms:W3CDTF">2016-11-01T12:17:00Z</dcterms:created>
  <dcterms:modified xsi:type="dcterms:W3CDTF">2016-11-01T12:17:00Z</dcterms:modified>
</cp:coreProperties>
</file>